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7A0F4A"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7A0F4A" w:rsidRDefault="00BC57D8" w:rsidP="00131490">
            <w:pPr>
              <w:pStyle w:val="ColumnHeading"/>
              <w:rPr>
                <w:rFonts w:asciiTheme="minorHAnsi" w:hAnsiTheme="minorHAnsi" w:cstheme="minorHAnsi"/>
                <w:b w:val="0"/>
                <w:bCs/>
                <w:sz w:val="22"/>
                <w:szCs w:val="22"/>
              </w:rPr>
            </w:pPr>
            <w:bookmarkStart w:id="0" w:name="dcusa_response1"/>
            <w:r w:rsidRPr="007A0F4A">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140F314"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60338542" w:rsidR="00BC57D8" w:rsidRPr="007A0F4A" w:rsidRDefault="004F132A">
            <w:pPr>
              <w:pStyle w:val="Question"/>
              <w:numPr>
                <w:ilvl w:val="0"/>
                <w:numId w:val="3"/>
              </w:numPr>
              <w:rPr>
                <w:rFonts w:asciiTheme="minorHAnsi" w:hAnsiTheme="minorHAnsi" w:cstheme="minorHAnsi"/>
                <w:b w:val="0"/>
                <w:bCs/>
                <w:sz w:val="22"/>
                <w:szCs w:val="22"/>
                <w:lang w:val="en-GB"/>
              </w:rPr>
            </w:pPr>
            <w:r w:rsidRPr="004F132A">
              <w:rPr>
                <w:rFonts w:asciiTheme="minorHAnsi" w:hAnsiTheme="minorHAnsi" w:cstheme="minorHAnsi"/>
                <w:b w:val="0"/>
                <w:bCs/>
                <w:sz w:val="22"/>
                <w:szCs w:val="22"/>
              </w:rPr>
              <w:t>Do you understand the intent of DCP 404?</w:t>
            </w:r>
          </w:p>
        </w:tc>
        <w:tc>
          <w:tcPr>
            <w:tcW w:w="3747" w:type="dxa"/>
            <w:shd w:val="clear" w:color="auto" w:fill="E2EFD9" w:themeFill="accent6" w:themeFillTint="33"/>
          </w:tcPr>
          <w:p w14:paraId="680F61BB" w14:textId="173C16D9" w:rsidR="00BC57D8" w:rsidRPr="007A0F4A"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Working Group Comments</w:t>
            </w:r>
          </w:p>
        </w:tc>
      </w:tr>
      <w:tr w:rsidR="00895CE0" w:rsidRPr="007A0F4A" w14:paraId="0E015225" w14:textId="77777777" w:rsidTr="00166D55">
        <w:tc>
          <w:tcPr>
            <w:tcW w:w="1730" w:type="dxa"/>
          </w:tcPr>
          <w:p w14:paraId="788AA1F6" w14:textId="28E8DD5C" w:rsidR="00895CE0" w:rsidRPr="00F758BF" w:rsidRDefault="00895CE0" w:rsidP="00895CE0">
            <w:pPr>
              <w:pStyle w:val="ColumnHeading"/>
              <w:rPr>
                <w:rFonts w:asciiTheme="minorHAnsi" w:hAnsiTheme="minorHAnsi" w:cstheme="minorHAnsi"/>
                <w:sz w:val="22"/>
                <w:szCs w:val="22"/>
              </w:rPr>
            </w:pPr>
            <w:r>
              <w:rPr>
                <w:rFonts w:asciiTheme="minorHAnsi" w:hAnsiTheme="minorHAnsi" w:cstheme="minorHAnsi"/>
                <w:sz w:val="22"/>
                <w:szCs w:val="22"/>
                <w:lang w:val="en-GB"/>
              </w:rPr>
              <w:t>BU-UK</w:t>
            </w:r>
          </w:p>
        </w:tc>
        <w:tc>
          <w:tcPr>
            <w:tcW w:w="1559" w:type="dxa"/>
          </w:tcPr>
          <w:p w14:paraId="79746368" w14:textId="77777777" w:rsidR="00895CE0" w:rsidRPr="007A0F4A" w:rsidRDefault="00895CE0" w:rsidP="00895CE0">
            <w:pPr>
              <w:pStyle w:val="ColumnHeading"/>
              <w:rPr>
                <w:rFonts w:asciiTheme="minorHAnsi" w:hAnsiTheme="minorHAnsi" w:cstheme="minorHAnsi"/>
                <w:b w:val="0"/>
                <w:bCs/>
                <w:sz w:val="22"/>
                <w:szCs w:val="22"/>
              </w:rPr>
            </w:pPr>
          </w:p>
        </w:tc>
        <w:tc>
          <w:tcPr>
            <w:tcW w:w="7040" w:type="dxa"/>
          </w:tcPr>
          <w:p w14:paraId="01169588" w14:textId="0880CF91" w:rsidR="00895CE0" w:rsidRDefault="00895CE0" w:rsidP="00895CE0">
            <w:pPr>
              <w:pStyle w:val="Question"/>
              <w:numPr>
                <w:ilvl w:val="0"/>
                <w:numId w:val="0"/>
              </w:numPr>
              <w:rPr>
                <w:rFonts w:asciiTheme="minorHAnsi" w:hAnsiTheme="minorHAnsi" w:cstheme="minorHAnsi"/>
                <w:b w:val="0"/>
                <w:bCs/>
                <w:sz w:val="22"/>
                <w:szCs w:val="22"/>
              </w:rPr>
            </w:pPr>
            <w:r w:rsidRPr="00895CE0">
              <w:rPr>
                <w:rFonts w:asciiTheme="minorHAnsi" w:hAnsiTheme="minorHAnsi" w:cstheme="minorHAnsi"/>
                <w:b w:val="0"/>
                <w:bCs/>
                <w:sz w:val="22"/>
                <w:szCs w:val="22"/>
              </w:rPr>
              <w:t>Yes  - to implement the decision and direction of the Access SCR in respect of the non-firm access rights and the definitions surrounding curtailment, the limits, network obligations and end dates</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5A73228D" w14:textId="77777777" w:rsidR="00895CE0" w:rsidRPr="00323D85" w:rsidRDefault="00895CE0" w:rsidP="00895CE0">
            <w:pPr>
              <w:pStyle w:val="BodyText"/>
              <w:rPr>
                <w:rFonts w:cstheme="minorHAnsi"/>
                <w:bCs/>
              </w:rPr>
            </w:pPr>
          </w:p>
        </w:tc>
      </w:tr>
      <w:tr w:rsidR="0002514A" w:rsidRPr="007A0F4A" w14:paraId="633BD6DA" w14:textId="77777777" w:rsidTr="00166D55">
        <w:tc>
          <w:tcPr>
            <w:tcW w:w="1730" w:type="dxa"/>
          </w:tcPr>
          <w:p w14:paraId="43879DB3" w14:textId="626C9575"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EDF</w:t>
            </w:r>
          </w:p>
        </w:tc>
        <w:tc>
          <w:tcPr>
            <w:tcW w:w="1559" w:type="dxa"/>
          </w:tcPr>
          <w:p w14:paraId="44B9A35C"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20BCD744" w14:textId="68B70087" w:rsidR="0002514A" w:rsidRPr="00D07E32" w:rsidRDefault="00D07E32"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079B1330" w14:textId="77777777" w:rsidR="0002514A" w:rsidRPr="00323D85" w:rsidRDefault="0002514A" w:rsidP="00895CE0">
            <w:pPr>
              <w:pStyle w:val="BodyText"/>
              <w:rPr>
                <w:rFonts w:cstheme="minorHAnsi"/>
                <w:bCs/>
              </w:rPr>
            </w:pPr>
          </w:p>
        </w:tc>
      </w:tr>
      <w:tr w:rsidR="0002514A" w:rsidRPr="007A0F4A" w14:paraId="70A8F6E9" w14:textId="77777777" w:rsidTr="00166D55">
        <w:tc>
          <w:tcPr>
            <w:tcW w:w="1730" w:type="dxa"/>
          </w:tcPr>
          <w:p w14:paraId="2F7D9CC3" w14:textId="69AD42EA"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ENWL</w:t>
            </w:r>
          </w:p>
        </w:tc>
        <w:tc>
          <w:tcPr>
            <w:tcW w:w="1559" w:type="dxa"/>
          </w:tcPr>
          <w:p w14:paraId="00F3A967"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1EB68F9D" w14:textId="2843E143" w:rsidR="0002514A" w:rsidRPr="007F3C00" w:rsidRDefault="007F3C00"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5CB0408B" w14:textId="77777777" w:rsidR="0002514A" w:rsidRPr="00323D85" w:rsidRDefault="0002514A" w:rsidP="00895CE0">
            <w:pPr>
              <w:pStyle w:val="BodyText"/>
              <w:rPr>
                <w:rFonts w:cstheme="minorHAnsi"/>
                <w:bCs/>
              </w:rPr>
            </w:pPr>
          </w:p>
        </w:tc>
      </w:tr>
      <w:tr w:rsidR="0002514A" w:rsidRPr="007A0F4A" w14:paraId="762D871D" w14:textId="77777777" w:rsidTr="00166D55">
        <w:tc>
          <w:tcPr>
            <w:tcW w:w="1730" w:type="dxa"/>
          </w:tcPr>
          <w:p w14:paraId="69FB46FD" w14:textId="08E9AA11"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ESP</w:t>
            </w:r>
          </w:p>
        </w:tc>
        <w:tc>
          <w:tcPr>
            <w:tcW w:w="1559" w:type="dxa"/>
          </w:tcPr>
          <w:p w14:paraId="67DF447B"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7B530416" w14:textId="2A44B554" w:rsidR="0002514A" w:rsidRPr="00E25A06" w:rsidRDefault="00E25A06"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3AD0C54A" w14:textId="77777777" w:rsidR="0002514A" w:rsidRPr="00323D85" w:rsidRDefault="0002514A" w:rsidP="00895CE0">
            <w:pPr>
              <w:pStyle w:val="BodyText"/>
              <w:rPr>
                <w:rFonts w:cstheme="minorHAnsi"/>
                <w:bCs/>
              </w:rPr>
            </w:pPr>
          </w:p>
        </w:tc>
      </w:tr>
      <w:tr w:rsidR="0002514A" w:rsidRPr="007A0F4A" w14:paraId="7CB0776A" w14:textId="77777777" w:rsidTr="001A138C">
        <w:tc>
          <w:tcPr>
            <w:tcW w:w="1730" w:type="dxa"/>
            <w:shd w:val="clear" w:color="auto" w:fill="D9D9D9" w:themeFill="background1" w:themeFillShade="D9"/>
          </w:tcPr>
          <w:p w14:paraId="7240E434" w14:textId="1995A642"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INA</w:t>
            </w:r>
          </w:p>
        </w:tc>
        <w:tc>
          <w:tcPr>
            <w:tcW w:w="1559" w:type="dxa"/>
            <w:shd w:val="clear" w:color="auto" w:fill="D9D9D9" w:themeFill="background1" w:themeFillShade="D9"/>
          </w:tcPr>
          <w:p w14:paraId="3E7F8D7C"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shd w:val="clear" w:color="auto" w:fill="D9D9D9" w:themeFill="background1" w:themeFillShade="D9"/>
          </w:tcPr>
          <w:p w14:paraId="3E63ABC8" w14:textId="4B01C39E" w:rsidR="0002514A" w:rsidRPr="001A138C" w:rsidRDefault="001A138C"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D9D9D9" w:themeFill="background1" w:themeFillShade="D9"/>
          </w:tcPr>
          <w:p w14:paraId="10C1FA6A" w14:textId="77777777" w:rsidR="0002514A" w:rsidRPr="00323D85" w:rsidRDefault="0002514A" w:rsidP="00895CE0">
            <w:pPr>
              <w:pStyle w:val="BodyText"/>
              <w:rPr>
                <w:rFonts w:cstheme="minorHAnsi"/>
                <w:bCs/>
              </w:rPr>
            </w:pPr>
          </w:p>
        </w:tc>
      </w:tr>
      <w:tr w:rsidR="0002514A" w:rsidRPr="007A0F4A" w14:paraId="39B144A8" w14:textId="77777777" w:rsidTr="00166D55">
        <w:tc>
          <w:tcPr>
            <w:tcW w:w="1730" w:type="dxa"/>
          </w:tcPr>
          <w:p w14:paraId="449B2007" w14:textId="3F53372A"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NPg</w:t>
            </w:r>
          </w:p>
        </w:tc>
        <w:tc>
          <w:tcPr>
            <w:tcW w:w="1559" w:type="dxa"/>
          </w:tcPr>
          <w:p w14:paraId="0E288FAD"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451C9F3D" w14:textId="2D5E4F00" w:rsidR="0002514A" w:rsidRPr="00A964B9" w:rsidRDefault="00A964B9"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615B442" w14:textId="77777777" w:rsidR="0002514A" w:rsidRPr="00323D85" w:rsidRDefault="0002514A" w:rsidP="00895CE0">
            <w:pPr>
              <w:pStyle w:val="BodyText"/>
              <w:rPr>
                <w:rFonts w:cstheme="minorHAnsi"/>
                <w:bCs/>
              </w:rPr>
            </w:pPr>
          </w:p>
        </w:tc>
      </w:tr>
      <w:tr w:rsidR="0002514A" w:rsidRPr="007A0F4A" w14:paraId="625F630C" w14:textId="77777777" w:rsidTr="00166D55">
        <w:tc>
          <w:tcPr>
            <w:tcW w:w="1730" w:type="dxa"/>
          </w:tcPr>
          <w:p w14:paraId="72DB7CB7" w14:textId="25FC8A9C"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Octopus</w:t>
            </w:r>
          </w:p>
        </w:tc>
        <w:tc>
          <w:tcPr>
            <w:tcW w:w="1559" w:type="dxa"/>
          </w:tcPr>
          <w:p w14:paraId="694C7C6D"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364E5CDB" w14:textId="666E210E" w:rsidR="0002514A" w:rsidRPr="00895CE0" w:rsidRDefault="00017234" w:rsidP="00895CE0">
            <w:pPr>
              <w:pStyle w:val="Question"/>
              <w:numPr>
                <w:ilvl w:val="0"/>
                <w:numId w:val="0"/>
              </w:numPr>
              <w:rPr>
                <w:rFonts w:asciiTheme="minorHAnsi" w:hAnsiTheme="minorHAnsi" w:cstheme="minorHAnsi"/>
                <w:b w:val="0"/>
                <w:bCs/>
                <w:sz w:val="22"/>
                <w:szCs w:val="22"/>
              </w:rPr>
            </w:pPr>
            <w:r w:rsidRPr="00017234">
              <w:rPr>
                <w:rFonts w:asciiTheme="minorHAnsi" w:hAnsiTheme="minorHAnsi" w:cstheme="minorHAnsi"/>
                <w:b w:val="0"/>
                <w:bCs/>
                <w:sz w:val="22"/>
                <w:szCs w:val="22"/>
              </w:rPr>
              <w:t>Yes the intent of DCP 404 is clear.</w:t>
            </w:r>
          </w:p>
        </w:tc>
        <w:tc>
          <w:tcPr>
            <w:tcW w:w="3747" w:type="dxa"/>
            <w:shd w:val="clear" w:color="auto" w:fill="E2EFD9" w:themeFill="accent6" w:themeFillTint="33"/>
          </w:tcPr>
          <w:p w14:paraId="774D0FAD" w14:textId="77777777" w:rsidR="0002514A" w:rsidRPr="00323D85" w:rsidRDefault="0002514A" w:rsidP="00895CE0">
            <w:pPr>
              <w:pStyle w:val="BodyText"/>
              <w:rPr>
                <w:rFonts w:cstheme="minorHAnsi"/>
                <w:bCs/>
              </w:rPr>
            </w:pPr>
          </w:p>
        </w:tc>
      </w:tr>
      <w:tr w:rsidR="0002514A" w:rsidRPr="007A0F4A" w14:paraId="666DF9DF" w14:textId="77777777" w:rsidTr="00166D55">
        <w:tc>
          <w:tcPr>
            <w:tcW w:w="1730" w:type="dxa"/>
          </w:tcPr>
          <w:p w14:paraId="68CA9FD5" w14:textId="477AA216"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OPN</w:t>
            </w:r>
          </w:p>
        </w:tc>
        <w:tc>
          <w:tcPr>
            <w:tcW w:w="1559" w:type="dxa"/>
          </w:tcPr>
          <w:p w14:paraId="4062AD9C"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24AAFD7C" w14:textId="7E7CEA03" w:rsidR="0002514A" w:rsidRPr="001F67DB" w:rsidRDefault="001F67DB"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4ECB4048" w14:textId="77777777" w:rsidR="0002514A" w:rsidRPr="00323D85" w:rsidRDefault="0002514A" w:rsidP="00895CE0">
            <w:pPr>
              <w:pStyle w:val="BodyText"/>
              <w:rPr>
                <w:rFonts w:cstheme="minorHAnsi"/>
                <w:bCs/>
              </w:rPr>
            </w:pPr>
          </w:p>
        </w:tc>
      </w:tr>
      <w:tr w:rsidR="00895CE0" w:rsidRPr="007A0F4A" w14:paraId="6B779CEE" w14:textId="77777777" w:rsidTr="00166D55">
        <w:tc>
          <w:tcPr>
            <w:tcW w:w="1730" w:type="dxa"/>
          </w:tcPr>
          <w:p w14:paraId="74B65A67" w14:textId="1863E6A1" w:rsidR="00895CE0" w:rsidRPr="00F758BF" w:rsidRDefault="00895CE0" w:rsidP="00895CE0">
            <w:pPr>
              <w:pStyle w:val="ColumnHeading"/>
              <w:rPr>
                <w:rFonts w:asciiTheme="minorHAnsi" w:hAnsiTheme="minorHAnsi" w:cstheme="minorHAnsi"/>
                <w:sz w:val="22"/>
                <w:szCs w:val="22"/>
                <w:lang w:val="en-GB"/>
              </w:rPr>
            </w:pPr>
            <w:r w:rsidRPr="00F758BF">
              <w:rPr>
                <w:rFonts w:asciiTheme="minorHAnsi" w:hAnsiTheme="minorHAnsi" w:cstheme="minorHAnsi"/>
                <w:sz w:val="22"/>
                <w:szCs w:val="22"/>
                <w:lang w:val="en-GB"/>
              </w:rPr>
              <w:t>Sembcorp Energy</w:t>
            </w:r>
          </w:p>
        </w:tc>
        <w:tc>
          <w:tcPr>
            <w:tcW w:w="1559" w:type="dxa"/>
          </w:tcPr>
          <w:p w14:paraId="12B70BBF" w14:textId="079416AB" w:rsidR="00895CE0" w:rsidRPr="007A0F4A" w:rsidRDefault="00895CE0" w:rsidP="00895CE0">
            <w:pPr>
              <w:pStyle w:val="ColumnHeading"/>
              <w:rPr>
                <w:rFonts w:asciiTheme="minorHAnsi" w:hAnsiTheme="minorHAnsi" w:cstheme="minorHAnsi"/>
                <w:b w:val="0"/>
                <w:bCs/>
                <w:sz w:val="22"/>
                <w:szCs w:val="22"/>
              </w:rPr>
            </w:pPr>
          </w:p>
        </w:tc>
        <w:tc>
          <w:tcPr>
            <w:tcW w:w="7040" w:type="dxa"/>
          </w:tcPr>
          <w:p w14:paraId="134A5F34" w14:textId="04CA4A5C" w:rsidR="00895CE0" w:rsidRPr="00F758BF" w:rsidRDefault="00895CE0"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73305F0" w14:textId="413C6A4F" w:rsidR="00895CE0" w:rsidRPr="00323D85" w:rsidRDefault="00895CE0" w:rsidP="00895CE0">
            <w:pPr>
              <w:pStyle w:val="BodyText"/>
              <w:rPr>
                <w:rFonts w:asciiTheme="minorHAnsi" w:hAnsiTheme="minorHAnsi" w:cstheme="minorHAnsi"/>
                <w:bCs/>
                <w:sz w:val="22"/>
                <w:szCs w:val="22"/>
                <w:lang w:val="en-GB"/>
              </w:rPr>
            </w:pPr>
          </w:p>
        </w:tc>
      </w:tr>
      <w:tr w:rsidR="00895CE0" w:rsidRPr="007A0F4A" w14:paraId="25863522" w14:textId="77777777" w:rsidTr="00166D55">
        <w:tc>
          <w:tcPr>
            <w:tcW w:w="1730" w:type="dxa"/>
          </w:tcPr>
          <w:p w14:paraId="627A4B69" w14:textId="094AB979" w:rsidR="00895CE0" w:rsidRPr="00895CE0"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SPEN</w:t>
            </w:r>
          </w:p>
        </w:tc>
        <w:tc>
          <w:tcPr>
            <w:tcW w:w="1559" w:type="dxa"/>
          </w:tcPr>
          <w:p w14:paraId="08ABD536" w14:textId="77777777" w:rsidR="00895CE0" w:rsidRPr="007A0F4A" w:rsidRDefault="00895CE0" w:rsidP="00895CE0">
            <w:pPr>
              <w:pStyle w:val="ColumnHeading"/>
              <w:rPr>
                <w:rFonts w:asciiTheme="minorHAnsi" w:hAnsiTheme="minorHAnsi" w:cstheme="minorHAnsi"/>
                <w:b w:val="0"/>
                <w:bCs/>
                <w:sz w:val="22"/>
                <w:szCs w:val="22"/>
              </w:rPr>
            </w:pPr>
          </w:p>
        </w:tc>
        <w:tc>
          <w:tcPr>
            <w:tcW w:w="7040" w:type="dxa"/>
          </w:tcPr>
          <w:p w14:paraId="431F38D5" w14:textId="20DD027E" w:rsidR="00895CE0" w:rsidRPr="00895CE0" w:rsidRDefault="000C6C27"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77777777" w:rsidR="00895CE0" w:rsidRPr="00323D85" w:rsidRDefault="00895CE0" w:rsidP="00895CE0">
            <w:pPr>
              <w:pStyle w:val="BodyText"/>
              <w:rPr>
                <w:rFonts w:cstheme="minorHAnsi"/>
                <w:bCs/>
              </w:rPr>
            </w:pPr>
          </w:p>
        </w:tc>
      </w:tr>
      <w:tr w:rsidR="0002514A" w:rsidRPr="007A0F4A" w14:paraId="22006016" w14:textId="77777777" w:rsidTr="00166D55">
        <w:tc>
          <w:tcPr>
            <w:tcW w:w="1730" w:type="dxa"/>
          </w:tcPr>
          <w:p w14:paraId="38DA5AF2" w14:textId="2B1B8C45"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lastRenderedPageBreak/>
              <w:t>SSEG</w:t>
            </w:r>
          </w:p>
        </w:tc>
        <w:tc>
          <w:tcPr>
            <w:tcW w:w="1559" w:type="dxa"/>
          </w:tcPr>
          <w:p w14:paraId="2BDFBD2C"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416910DC" w14:textId="425D4825" w:rsidR="0002514A" w:rsidRPr="00895CE0" w:rsidRDefault="00C950BA" w:rsidP="00895CE0">
            <w:pPr>
              <w:pStyle w:val="Question"/>
              <w:numPr>
                <w:ilvl w:val="0"/>
                <w:numId w:val="0"/>
              </w:numPr>
              <w:rPr>
                <w:rFonts w:asciiTheme="minorHAnsi" w:hAnsiTheme="minorHAnsi" w:cstheme="minorHAnsi"/>
                <w:b w:val="0"/>
                <w:bCs/>
                <w:sz w:val="22"/>
                <w:szCs w:val="22"/>
              </w:rPr>
            </w:pPr>
            <w:r w:rsidRPr="00C950BA">
              <w:rPr>
                <w:rFonts w:asciiTheme="minorHAnsi" w:hAnsiTheme="minorHAnsi" w:cstheme="minorHAnsi"/>
                <w:b w:val="0"/>
                <w:bCs/>
                <w:sz w:val="22"/>
                <w:szCs w:val="22"/>
              </w:rPr>
              <w:t>We do.</w:t>
            </w:r>
          </w:p>
        </w:tc>
        <w:tc>
          <w:tcPr>
            <w:tcW w:w="3747" w:type="dxa"/>
            <w:shd w:val="clear" w:color="auto" w:fill="E2EFD9" w:themeFill="accent6" w:themeFillTint="33"/>
          </w:tcPr>
          <w:p w14:paraId="76B89386" w14:textId="77777777" w:rsidR="0002514A" w:rsidRPr="00323D85" w:rsidRDefault="0002514A" w:rsidP="00895CE0">
            <w:pPr>
              <w:pStyle w:val="BodyText"/>
              <w:rPr>
                <w:rFonts w:cstheme="minorHAnsi"/>
                <w:bCs/>
              </w:rPr>
            </w:pPr>
          </w:p>
        </w:tc>
      </w:tr>
      <w:tr w:rsidR="0002514A" w:rsidRPr="007A0F4A" w14:paraId="43AC4F8D" w14:textId="77777777" w:rsidTr="00166D55">
        <w:tc>
          <w:tcPr>
            <w:tcW w:w="1730" w:type="dxa"/>
          </w:tcPr>
          <w:p w14:paraId="514930E6" w14:textId="3656F2FD" w:rsidR="0002514A" w:rsidRPr="00C07E70" w:rsidRDefault="00C07E70"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SSEN</w:t>
            </w:r>
          </w:p>
        </w:tc>
        <w:tc>
          <w:tcPr>
            <w:tcW w:w="1559" w:type="dxa"/>
          </w:tcPr>
          <w:p w14:paraId="7FE5B780"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2ABDA270" w14:textId="3151DD22" w:rsidR="0002514A" w:rsidRPr="00745814" w:rsidRDefault="00745814"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480D5CC2" w14:textId="77777777" w:rsidR="0002514A" w:rsidRPr="00323D85" w:rsidRDefault="0002514A" w:rsidP="00895CE0">
            <w:pPr>
              <w:pStyle w:val="BodyText"/>
              <w:rPr>
                <w:rFonts w:cstheme="minorHAnsi"/>
                <w:bCs/>
              </w:rPr>
            </w:pPr>
          </w:p>
        </w:tc>
      </w:tr>
      <w:tr w:rsidR="0002514A" w:rsidRPr="007A0F4A" w14:paraId="70FBF08E" w14:textId="77777777" w:rsidTr="00166D55">
        <w:tc>
          <w:tcPr>
            <w:tcW w:w="1730" w:type="dxa"/>
          </w:tcPr>
          <w:p w14:paraId="5C3486D0" w14:textId="49267592" w:rsidR="0002514A" w:rsidRPr="00C07E70" w:rsidRDefault="00C07E70"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UKPN</w:t>
            </w:r>
          </w:p>
        </w:tc>
        <w:tc>
          <w:tcPr>
            <w:tcW w:w="1559" w:type="dxa"/>
          </w:tcPr>
          <w:p w14:paraId="6624B1E7"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28C9CAAE" w14:textId="0A095444" w:rsidR="0002514A" w:rsidRPr="00B105CC" w:rsidRDefault="00B105CC"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60712DEE" w14:textId="77777777" w:rsidR="0002514A" w:rsidRPr="00323D85" w:rsidRDefault="0002514A" w:rsidP="00895CE0">
            <w:pPr>
              <w:pStyle w:val="BodyText"/>
              <w:rPr>
                <w:rFonts w:cstheme="minorHAnsi"/>
                <w:bCs/>
              </w:rPr>
            </w:pPr>
          </w:p>
        </w:tc>
      </w:tr>
      <w:tr w:rsidR="0002514A" w:rsidRPr="007A0F4A" w14:paraId="50460E74" w14:textId="77777777" w:rsidTr="00166D55">
        <w:tc>
          <w:tcPr>
            <w:tcW w:w="1730" w:type="dxa"/>
          </w:tcPr>
          <w:p w14:paraId="1657DC73" w14:textId="1B036444" w:rsidR="0002514A" w:rsidRPr="00C07E70" w:rsidRDefault="00C07E70"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WPD</w:t>
            </w:r>
          </w:p>
        </w:tc>
        <w:tc>
          <w:tcPr>
            <w:tcW w:w="1559" w:type="dxa"/>
          </w:tcPr>
          <w:p w14:paraId="43B0F3D4"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tcPr>
          <w:p w14:paraId="7686F3DD" w14:textId="462F3E76" w:rsidR="0002514A" w:rsidRPr="00895CE0" w:rsidRDefault="00FC694B" w:rsidP="00895CE0">
            <w:pPr>
              <w:pStyle w:val="Question"/>
              <w:numPr>
                <w:ilvl w:val="0"/>
                <w:numId w:val="0"/>
              </w:numPr>
              <w:rPr>
                <w:rFonts w:asciiTheme="minorHAnsi" w:hAnsiTheme="minorHAnsi" w:cstheme="minorHAnsi"/>
                <w:b w:val="0"/>
                <w:bCs/>
                <w:sz w:val="22"/>
                <w:szCs w:val="22"/>
              </w:rPr>
            </w:pPr>
            <w:r w:rsidRPr="00FC694B">
              <w:rPr>
                <w:rFonts w:asciiTheme="minorHAnsi" w:hAnsiTheme="minorHAnsi" w:cstheme="minorHAnsi"/>
                <w:b w:val="0"/>
                <w:bCs/>
                <w:sz w:val="22"/>
                <w:szCs w:val="22"/>
              </w:rPr>
              <w:t>Yes, we understand the intent.</w:t>
            </w:r>
          </w:p>
        </w:tc>
        <w:tc>
          <w:tcPr>
            <w:tcW w:w="3747" w:type="dxa"/>
            <w:shd w:val="clear" w:color="auto" w:fill="E2EFD9" w:themeFill="accent6" w:themeFillTint="33"/>
          </w:tcPr>
          <w:p w14:paraId="32465C0C" w14:textId="77777777" w:rsidR="0002514A" w:rsidRPr="00323D85" w:rsidRDefault="0002514A" w:rsidP="00895CE0">
            <w:pPr>
              <w:pStyle w:val="BodyText"/>
              <w:rPr>
                <w:rFonts w:cstheme="minorHAnsi"/>
                <w:bCs/>
              </w:rPr>
            </w:pPr>
          </w:p>
        </w:tc>
      </w:tr>
      <w:tr w:rsidR="00895CE0" w:rsidRPr="007A0F4A" w14:paraId="220F3C8B" w14:textId="77777777" w:rsidTr="000B48B1">
        <w:tc>
          <w:tcPr>
            <w:tcW w:w="14076" w:type="dxa"/>
            <w:gridSpan w:val="4"/>
            <w:shd w:val="clear" w:color="auto" w:fill="E2EFD9" w:themeFill="accent6" w:themeFillTint="33"/>
          </w:tcPr>
          <w:p w14:paraId="0747C41C" w14:textId="77777777" w:rsidR="00895CE0" w:rsidRDefault="00895CE0" w:rsidP="00895CE0">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p w14:paraId="52F52813" w14:textId="311FEBBB" w:rsidR="00895CE0" w:rsidRPr="007A0F4A" w:rsidRDefault="00895CE0" w:rsidP="00895CE0">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All responders confirmed that they understood the intent of the CP.  </w:t>
            </w:r>
          </w:p>
        </w:tc>
      </w:tr>
      <w:bookmarkEnd w:id="0"/>
    </w:tbl>
    <w:p w14:paraId="4AB04EA3"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0772E1CF" w14:textId="7478E030"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177488" w14:textId="77777777" w:rsidR="000E134B" w:rsidRPr="007A0F4A" w:rsidRDefault="000E134B" w:rsidP="00BC57D8">
            <w:pPr>
              <w:pStyle w:val="ColumnHeading"/>
              <w:rPr>
                <w:rFonts w:asciiTheme="minorHAnsi" w:hAnsiTheme="minorHAnsi" w:cstheme="minorHAnsi"/>
                <w:b w:val="0"/>
                <w:bCs/>
                <w:sz w:val="22"/>
                <w:szCs w:val="22"/>
              </w:rPr>
            </w:pPr>
            <w:bookmarkStart w:id="1" w:name="dcusa_response2"/>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4CDE3489"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3924F47"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DF0BC41" w14:textId="7A4768A9" w:rsidR="000E134B" w:rsidRPr="007A0F4A" w:rsidRDefault="00FD133B">
            <w:pPr>
              <w:pStyle w:val="Question"/>
              <w:numPr>
                <w:ilvl w:val="0"/>
                <w:numId w:val="3"/>
              </w:numPr>
              <w:rPr>
                <w:rFonts w:asciiTheme="minorHAnsi" w:hAnsiTheme="minorHAnsi" w:cstheme="minorHAnsi"/>
                <w:b w:val="0"/>
                <w:bCs/>
                <w:sz w:val="22"/>
                <w:szCs w:val="22"/>
              </w:rPr>
            </w:pPr>
            <w:r w:rsidRPr="00FD133B">
              <w:rPr>
                <w:rFonts w:asciiTheme="minorHAnsi" w:hAnsiTheme="minorHAnsi" w:cstheme="minorHAnsi"/>
                <w:b w:val="0"/>
                <w:bCs/>
                <w:sz w:val="22"/>
                <w:szCs w:val="22"/>
                <w:lang w:val="en-GB"/>
              </w:rPr>
              <w:t>Are you supportive of the principles of DCP 404?</w:t>
            </w:r>
          </w:p>
        </w:tc>
        <w:tc>
          <w:tcPr>
            <w:tcW w:w="3752" w:type="dxa"/>
            <w:shd w:val="clear" w:color="auto" w:fill="E2EFD9" w:themeFill="accent6" w:themeFillTint="33"/>
          </w:tcPr>
          <w:p w14:paraId="5C3D837A" w14:textId="66B01909" w:rsidR="000E134B" w:rsidRPr="007A0F4A" w:rsidRDefault="000E134B" w:rsidP="000E134B">
            <w:pPr>
              <w:pStyle w:val="Question"/>
              <w:numPr>
                <w:ilvl w:val="0"/>
                <w:numId w:val="0"/>
              </w:numPr>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 xml:space="preserve">Working Group Comments </w:t>
            </w:r>
          </w:p>
        </w:tc>
      </w:tr>
      <w:tr w:rsidR="00895CE0" w:rsidRPr="007A0F4A" w14:paraId="0E619C6F" w14:textId="77777777" w:rsidTr="0015638A">
        <w:tc>
          <w:tcPr>
            <w:tcW w:w="1730" w:type="dxa"/>
          </w:tcPr>
          <w:p w14:paraId="657B6639" w14:textId="6E598ACF" w:rsidR="00895CE0" w:rsidRDefault="00895CE0" w:rsidP="00895CE0">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4A0D7FE2" w14:textId="77777777" w:rsidR="00895CE0" w:rsidRPr="007A0F4A" w:rsidRDefault="00895CE0" w:rsidP="00895CE0">
            <w:pPr>
              <w:pStyle w:val="BodyTextNoSpacing"/>
              <w:rPr>
                <w:rFonts w:asciiTheme="minorHAnsi" w:hAnsiTheme="minorHAnsi" w:cstheme="minorHAnsi"/>
                <w:bCs/>
                <w:sz w:val="22"/>
                <w:szCs w:val="22"/>
              </w:rPr>
            </w:pPr>
          </w:p>
        </w:tc>
        <w:tc>
          <w:tcPr>
            <w:tcW w:w="7069" w:type="dxa"/>
          </w:tcPr>
          <w:p w14:paraId="02EFDF84" w14:textId="7C2F1D82" w:rsidR="00895CE0" w:rsidRDefault="00895CE0" w:rsidP="00895CE0">
            <w:pPr>
              <w:pStyle w:val="BodyTextNoSpacing"/>
              <w:rPr>
                <w:rFonts w:asciiTheme="minorHAnsi" w:hAnsiTheme="minorHAnsi" w:cstheme="minorHAnsi"/>
                <w:bCs/>
                <w:sz w:val="22"/>
                <w:szCs w:val="22"/>
              </w:rPr>
            </w:pPr>
            <w:r>
              <w:rPr>
                <w:rFonts w:asciiTheme="minorHAnsi" w:hAnsiTheme="minorHAnsi" w:cstheme="minorHAnsi"/>
                <w:bCs/>
                <w:sz w:val="22"/>
                <w:szCs w:val="22"/>
                <w:lang w:val="en-GB"/>
              </w:rPr>
              <w:t>Yes.</w:t>
            </w:r>
          </w:p>
        </w:tc>
        <w:tc>
          <w:tcPr>
            <w:tcW w:w="3752" w:type="dxa"/>
            <w:shd w:val="clear" w:color="auto" w:fill="E2EFD9" w:themeFill="accent6" w:themeFillTint="33"/>
          </w:tcPr>
          <w:p w14:paraId="475E7955" w14:textId="77777777" w:rsidR="00895CE0" w:rsidRPr="007A0F4A" w:rsidRDefault="00895CE0" w:rsidP="00895CE0">
            <w:pPr>
              <w:pStyle w:val="BodyTextNoSpacing"/>
              <w:rPr>
                <w:rFonts w:asciiTheme="minorHAnsi" w:hAnsiTheme="minorHAnsi" w:cstheme="minorHAnsi"/>
                <w:bCs/>
                <w:sz w:val="22"/>
                <w:szCs w:val="22"/>
              </w:rPr>
            </w:pPr>
          </w:p>
        </w:tc>
      </w:tr>
      <w:tr w:rsidR="00C07E70" w:rsidRPr="007A0F4A" w14:paraId="7AE39DEB" w14:textId="77777777" w:rsidTr="0015638A">
        <w:tc>
          <w:tcPr>
            <w:tcW w:w="1730" w:type="dxa"/>
          </w:tcPr>
          <w:p w14:paraId="08B2CF1C" w14:textId="220AE520"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EC0155A"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39FFEFAB" w14:textId="600E7F63" w:rsidR="00C07E70" w:rsidRPr="00D07E32" w:rsidRDefault="00D07E32"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2A9A4206"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48D147C3" w14:textId="77777777" w:rsidTr="0015638A">
        <w:tc>
          <w:tcPr>
            <w:tcW w:w="1730" w:type="dxa"/>
          </w:tcPr>
          <w:p w14:paraId="08B125ED" w14:textId="1704CDDA"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0F08A02F"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58F5EF8F" w14:textId="5D54A349" w:rsidR="00C07E70" w:rsidRPr="007F3C00" w:rsidRDefault="007F3C00"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6DF41B89"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771974E1" w14:textId="77777777" w:rsidTr="0015638A">
        <w:tc>
          <w:tcPr>
            <w:tcW w:w="1730" w:type="dxa"/>
          </w:tcPr>
          <w:p w14:paraId="42A30F90" w14:textId="2E59D3C7"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498D996"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76E013E6" w14:textId="798B7D4E" w:rsidR="00C07E70" w:rsidRPr="00E25A06" w:rsidRDefault="00E25A06"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0D68588B"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400DCCBE" w14:textId="77777777" w:rsidTr="001A138C">
        <w:tc>
          <w:tcPr>
            <w:tcW w:w="1730" w:type="dxa"/>
            <w:shd w:val="clear" w:color="auto" w:fill="D9D9D9" w:themeFill="background1" w:themeFillShade="D9"/>
          </w:tcPr>
          <w:p w14:paraId="39AA3CC7" w14:textId="471E39E2"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2EA6F71" w14:textId="77777777" w:rsidR="00C07E70" w:rsidRPr="007A0F4A" w:rsidRDefault="00C07E70" w:rsidP="00C07E70">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6C21107" w14:textId="0A5D2541" w:rsidR="00C07E70" w:rsidRPr="001A138C" w:rsidRDefault="001A138C"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N/A</w:t>
            </w:r>
          </w:p>
        </w:tc>
        <w:tc>
          <w:tcPr>
            <w:tcW w:w="3752" w:type="dxa"/>
            <w:shd w:val="clear" w:color="auto" w:fill="D9D9D9" w:themeFill="background1" w:themeFillShade="D9"/>
          </w:tcPr>
          <w:p w14:paraId="5E13FE40"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5DAE5388" w14:textId="77777777" w:rsidTr="0015638A">
        <w:tc>
          <w:tcPr>
            <w:tcW w:w="1730" w:type="dxa"/>
          </w:tcPr>
          <w:p w14:paraId="702F4784" w14:textId="6D9F5C9B"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60D77735"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45050797" w14:textId="7D5C3D83" w:rsidR="00C07E70" w:rsidRPr="00A964B9" w:rsidRDefault="00A964B9"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6D0115CD"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2EA33CF7" w14:textId="77777777" w:rsidTr="0015638A">
        <w:tc>
          <w:tcPr>
            <w:tcW w:w="1730" w:type="dxa"/>
          </w:tcPr>
          <w:p w14:paraId="58156F34" w14:textId="15B0876B"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Octopus</w:t>
            </w:r>
          </w:p>
        </w:tc>
        <w:tc>
          <w:tcPr>
            <w:tcW w:w="1530" w:type="dxa"/>
          </w:tcPr>
          <w:p w14:paraId="49581061"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4F5716DC" w14:textId="77777777" w:rsidR="00017234" w:rsidRPr="00017234" w:rsidRDefault="00017234" w:rsidP="00017234">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We are supportive of the principles. It is important that the processes implemented are common to</w:t>
            </w:r>
          </w:p>
          <w:p w14:paraId="5B14D95A" w14:textId="77777777" w:rsidR="00017234" w:rsidRPr="00017234" w:rsidRDefault="00017234" w:rsidP="00017234">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all DNOs to ensure there is trust in the process. In order to embed this trust, regular reporting on the</w:t>
            </w:r>
          </w:p>
          <w:p w14:paraId="49E32CF5" w14:textId="77777777" w:rsidR="00017234" w:rsidRPr="00017234" w:rsidRDefault="00017234" w:rsidP="00017234">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level of curtailment for each connection agreement is needed in a standard and easy-to-interpret</w:t>
            </w:r>
          </w:p>
          <w:p w14:paraId="5279480E" w14:textId="2B4095FC" w:rsidR="00C07E70" w:rsidRDefault="00017234" w:rsidP="00017234">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format.</w:t>
            </w:r>
          </w:p>
        </w:tc>
        <w:tc>
          <w:tcPr>
            <w:tcW w:w="3752" w:type="dxa"/>
            <w:shd w:val="clear" w:color="auto" w:fill="E2EFD9" w:themeFill="accent6" w:themeFillTint="33"/>
          </w:tcPr>
          <w:p w14:paraId="11CE33BB"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64D76213" w14:textId="77777777" w:rsidTr="0015638A">
        <w:tc>
          <w:tcPr>
            <w:tcW w:w="1730" w:type="dxa"/>
          </w:tcPr>
          <w:p w14:paraId="5BC9AC84" w14:textId="3047D6EF"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2EC1B65"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16E3CA8F" w14:textId="79FF167A" w:rsidR="00C07E70" w:rsidRPr="001F67DB" w:rsidRDefault="001F67DB"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3BDE93C3"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32C27F2E" w14:textId="77777777" w:rsidTr="0015638A">
        <w:tc>
          <w:tcPr>
            <w:tcW w:w="1730" w:type="dxa"/>
          </w:tcPr>
          <w:p w14:paraId="63559307" w14:textId="4DF9D003"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Sembcorp Energy</w:t>
            </w:r>
          </w:p>
        </w:tc>
        <w:tc>
          <w:tcPr>
            <w:tcW w:w="1530" w:type="dxa"/>
          </w:tcPr>
          <w:p w14:paraId="64F65F5D" w14:textId="3EC17919" w:rsidR="00C07E70" w:rsidRPr="007A0F4A" w:rsidRDefault="00C07E70" w:rsidP="00C07E70">
            <w:pPr>
              <w:pStyle w:val="BodyTextNoSpacing"/>
              <w:rPr>
                <w:rFonts w:asciiTheme="minorHAnsi" w:hAnsiTheme="minorHAnsi" w:cstheme="minorHAnsi"/>
                <w:bCs/>
                <w:sz w:val="22"/>
                <w:szCs w:val="22"/>
              </w:rPr>
            </w:pPr>
          </w:p>
        </w:tc>
        <w:tc>
          <w:tcPr>
            <w:tcW w:w="7069" w:type="dxa"/>
          </w:tcPr>
          <w:p w14:paraId="5AB55B3C" w14:textId="74F8BD87" w:rsidR="00C07E70" w:rsidRPr="007A0F4A" w:rsidRDefault="00C07E70"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7A79EE93" w14:textId="11E893C8" w:rsidR="00C07E70" w:rsidRPr="007A0F4A" w:rsidRDefault="00C07E70" w:rsidP="00C07E70">
            <w:pPr>
              <w:pStyle w:val="BodyTextNoSpacing"/>
              <w:rPr>
                <w:rFonts w:asciiTheme="minorHAnsi" w:hAnsiTheme="minorHAnsi" w:cstheme="minorHAnsi"/>
                <w:bCs/>
                <w:sz w:val="22"/>
                <w:szCs w:val="22"/>
              </w:rPr>
            </w:pPr>
          </w:p>
        </w:tc>
      </w:tr>
      <w:tr w:rsidR="00C07E70" w:rsidRPr="007A0F4A" w14:paraId="7452FAC1" w14:textId="77777777" w:rsidTr="0015638A">
        <w:tc>
          <w:tcPr>
            <w:tcW w:w="1730" w:type="dxa"/>
          </w:tcPr>
          <w:p w14:paraId="3683084E" w14:textId="03ADD285" w:rsidR="00C07E70" w:rsidRPr="00C07E70" w:rsidRDefault="00C07E70" w:rsidP="00C07E70">
            <w:pPr>
              <w:pStyle w:val="BodyTextNoSpacing"/>
              <w:rPr>
                <w:rFonts w:asciiTheme="minorHAnsi" w:hAnsiTheme="minorHAnsi" w:cstheme="minorHAnsi"/>
                <w:b/>
                <w:bCs/>
                <w:sz w:val="22"/>
                <w:szCs w:val="22"/>
                <w:lang w:val="en-GB"/>
              </w:rPr>
            </w:pPr>
            <w:r w:rsidRPr="00C07E70">
              <w:rPr>
                <w:rFonts w:asciiTheme="minorHAnsi" w:hAnsiTheme="minorHAnsi" w:cstheme="minorHAnsi"/>
                <w:b/>
                <w:bCs/>
                <w:sz w:val="22"/>
                <w:szCs w:val="22"/>
                <w:lang w:val="en-GB"/>
              </w:rPr>
              <w:t>SPEN</w:t>
            </w:r>
          </w:p>
        </w:tc>
        <w:tc>
          <w:tcPr>
            <w:tcW w:w="1530" w:type="dxa"/>
          </w:tcPr>
          <w:p w14:paraId="5BE25926"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1582E538" w14:textId="19872847" w:rsidR="00C07E70" w:rsidRPr="00895CE0" w:rsidRDefault="000C6C27"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59A043B9"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50B0EDFE" w14:textId="77777777" w:rsidTr="0015638A">
        <w:tc>
          <w:tcPr>
            <w:tcW w:w="1730" w:type="dxa"/>
          </w:tcPr>
          <w:p w14:paraId="1D23B50C" w14:textId="3E71DA1C"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DE53D88"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44975512" w14:textId="385EC67C" w:rsidR="00C950BA"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t>Overall, we are supportive of the proposals put forward to create curtailable connection agreements.</w:t>
            </w:r>
          </w:p>
          <w:p w14:paraId="26F16428" w14:textId="77777777" w:rsidR="00C950BA" w:rsidRPr="00C950BA" w:rsidRDefault="00C950BA" w:rsidP="00C950BA">
            <w:pPr>
              <w:pStyle w:val="BodyTextNoSpacing"/>
              <w:rPr>
                <w:rFonts w:asciiTheme="minorHAnsi" w:hAnsiTheme="minorHAnsi" w:cstheme="minorHAnsi"/>
                <w:bCs/>
                <w:sz w:val="22"/>
                <w:szCs w:val="22"/>
              </w:rPr>
            </w:pPr>
          </w:p>
          <w:p w14:paraId="7CA76941" w14:textId="159C1598" w:rsidR="00C950BA"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t>We do, however, have a concern about whether the proposed use of the term ‘Customer’, as defined in the new Schedule, section 8, covers both of Ofgem’s intended target groups, namely demand and generation connectees. We note that both categories of these users are referred to as ‘Customer’ in the proposed legal text.</w:t>
            </w:r>
          </w:p>
          <w:p w14:paraId="1FF53180" w14:textId="77777777" w:rsidR="00C950BA" w:rsidRPr="00C950BA" w:rsidRDefault="00C950BA" w:rsidP="00C950BA">
            <w:pPr>
              <w:pStyle w:val="BodyTextNoSpacing"/>
              <w:rPr>
                <w:rFonts w:asciiTheme="minorHAnsi" w:hAnsiTheme="minorHAnsi" w:cstheme="minorHAnsi"/>
                <w:bCs/>
                <w:sz w:val="22"/>
                <w:szCs w:val="22"/>
              </w:rPr>
            </w:pPr>
          </w:p>
          <w:p w14:paraId="1076CB37" w14:textId="77777777" w:rsidR="00C07E70"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t>As per the definition in section 8, the term “means any owner or occupier of premises in Great Britain who is supplied or requires to be supplied with electricity, and includes an electricity supplier when acting on behalf of such a person.” We are unsure as to whether this definition expressly includes (or excludes) generators, and we would appreciate legal clarification being provided on this.</w:t>
            </w:r>
          </w:p>
          <w:p w14:paraId="40FE69B1" w14:textId="1FAC3999" w:rsidR="00C950BA" w:rsidRPr="00C950BA"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lastRenderedPageBreak/>
              <w:t>If the definition applies only to demand customers, we suggest creating two new terms: ‘Demand</w:t>
            </w:r>
            <w:r>
              <w:rPr>
                <w:rFonts w:asciiTheme="minorHAnsi" w:hAnsiTheme="minorHAnsi" w:cstheme="minorHAnsi"/>
                <w:bCs/>
                <w:sz w:val="22"/>
                <w:szCs w:val="22"/>
                <w:lang w:val="en-GB"/>
              </w:rPr>
              <w:t xml:space="preserve"> </w:t>
            </w:r>
            <w:r w:rsidRPr="00C950BA">
              <w:rPr>
                <w:rFonts w:asciiTheme="minorHAnsi" w:hAnsiTheme="minorHAnsi" w:cstheme="minorHAnsi"/>
                <w:bCs/>
                <w:sz w:val="22"/>
                <w:szCs w:val="22"/>
              </w:rPr>
              <w:t>Customer’ and ‘Generation Customer’, or replace the term ‘Customer’ with the term ‘User’ (if</w:t>
            </w:r>
            <w:r>
              <w:rPr>
                <w:rFonts w:asciiTheme="minorHAnsi" w:hAnsiTheme="minorHAnsi" w:cstheme="minorHAnsi"/>
                <w:bCs/>
                <w:sz w:val="22"/>
                <w:szCs w:val="22"/>
                <w:lang w:val="en-GB"/>
              </w:rPr>
              <w:t xml:space="preserve"> </w:t>
            </w:r>
            <w:r w:rsidRPr="00C950BA">
              <w:rPr>
                <w:rFonts w:asciiTheme="minorHAnsi" w:hAnsiTheme="minorHAnsi" w:cstheme="minorHAnsi"/>
                <w:bCs/>
                <w:sz w:val="22"/>
                <w:szCs w:val="22"/>
              </w:rPr>
              <w:t>legally more robust), to ensure both categories are covered by the proposed reforms being</w:t>
            </w:r>
          </w:p>
          <w:p w14:paraId="5E767B19" w14:textId="7B2971A8" w:rsidR="00C950BA" w:rsidRPr="00C950BA" w:rsidRDefault="00C950BA" w:rsidP="00C950BA">
            <w:pPr>
              <w:pStyle w:val="BodyTextNoSpacing"/>
              <w:rPr>
                <w:rFonts w:asciiTheme="minorHAnsi" w:hAnsiTheme="minorHAnsi" w:cstheme="minorHAnsi"/>
                <w:bCs/>
                <w:sz w:val="22"/>
                <w:szCs w:val="22"/>
                <w:lang w:val="en-GB"/>
              </w:rPr>
            </w:pPr>
            <w:r w:rsidRPr="00C950BA">
              <w:rPr>
                <w:rFonts w:asciiTheme="minorHAnsi" w:hAnsiTheme="minorHAnsi" w:cstheme="minorHAnsi"/>
                <w:bCs/>
                <w:sz w:val="22"/>
                <w:szCs w:val="22"/>
              </w:rPr>
              <w:t>introduced.</w:t>
            </w:r>
          </w:p>
        </w:tc>
        <w:tc>
          <w:tcPr>
            <w:tcW w:w="3752" w:type="dxa"/>
            <w:shd w:val="clear" w:color="auto" w:fill="E2EFD9" w:themeFill="accent6" w:themeFillTint="33"/>
          </w:tcPr>
          <w:p w14:paraId="025D4F1E"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6C8BA2CD" w14:textId="77777777" w:rsidTr="0015638A">
        <w:tc>
          <w:tcPr>
            <w:tcW w:w="1730" w:type="dxa"/>
          </w:tcPr>
          <w:p w14:paraId="17E0AE69" w14:textId="30C93AF1"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218FB881"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21A5F5D8" w14:textId="2BBC4567" w:rsidR="00C07E70" w:rsidRPr="00745814" w:rsidRDefault="00745814"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76D53628"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1B44F388" w14:textId="77777777" w:rsidTr="0015638A">
        <w:tc>
          <w:tcPr>
            <w:tcW w:w="1730" w:type="dxa"/>
          </w:tcPr>
          <w:p w14:paraId="359E81DB" w14:textId="32E6F011"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CE87BD0"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1DE29875" w14:textId="32BA3893" w:rsidR="00C07E70" w:rsidRPr="00B105CC" w:rsidRDefault="00B105CC"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18FF7555"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7F588E9D" w14:textId="77777777" w:rsidTr="0015638A">
        <w:tc>
          <w:tcPr>
            <w:tcW w:w="1730" w:type="dxa"/>
          </w:tcPr>
          <w:p w14:paraId="3B470B5F" w14:textId="60947EB6"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F8C06AB"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29E888B7" w14:textId="4CC9EB7A" w:rsidR="00C07E70" w:rsidRPr="00FC694B" w:rsidRDefault="00FC694B"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58D1AFF7"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2D3A1BC3" w14:textId="77777777" w:rsidTr="00D36912">
        <w:tc>
          <w:tcPr>
            <w:tcW w:w="14081" w:type="dxa"/>
            <w:gridSpan w:val="4"/>
            <w:shd w:val="clear" w:color="auto" w:fill="E2EFD9" w:themeFill="accent6" w:themeFillTint="33"/>
          </w:tcPr>
          <w:p w14:paraId="3609B38E" w14:textId="0B978D59" w:rsidR="00C07E70" w:rsidRPr="007B4C44" w:rsidRDefault="00C07E70" w:rsidP="00C07E70">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bookmarkEnd w:id="1"/>
    </w:tbl>
    <w:p w14:paraId="706D26F4" w14:textId="77777777" w:rsidR="00BC57D8" w:rsidRPr="007A0F4A" w:rsidRDefault="00BC57D8">
      <w:pPr>
        <w:rPr>
          <w:rFonts w:cstheme="minorHAnsi"/>
          <w:bCs/>
        </w:rPr>
      </w:pPr>
    </w:p>
    <w:tbl>
      <w:tblPr>
        <w:tblStyle w:val="ElectralinkResponseTable"/>
        <w:tblW w:w="14080" w:type="dxa"/>
        <w:tblInd w:w="108" w:type="dxa"/>
        <w:tblLayout w:type="fixed"/>
        <w:tblLook w:val="04A0" w:firstRow="1" w:lastRow="0" w:firstColumn="1" w:lastColumn="0" w:noHBand="0" w:noVBand="1"/>
      </w:tblPr>
      <w:tblGrid>
        <w:gridCol w:w="1730"/>
        <w:gridCol w:w="1484"/>
        <w:gridCol w:w="7115"/>
        <w:gridCol w:w="3751"/>
      </w:tblGrid>
      <w:tr w:rsidR="008C7B7D" w:rsidRPr="007A0F4A" w14:paraId="50EDCAF4" w14:textId="2E9ACFBF"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F42CDB" w14:textId="77777777" w:rsidR="00961EDD" w:rsidRPr="007A0F4A" w:rsidRDefault="00961EDD" w:rsidP="00BC57D8">
            <w:pPr>
              <w:pStyle w:val="ColumnHeading"/>
              <w:rPr>
                <w:rFonts w:asciiTheme="minorHAnsi" w:hAnsiTheme="minorHAnsi" w:cstheme="minorHAnsi"/>
                <w:b w:val="0"/>
                <w:bCs/>
                <w:sz w:val="22"/>
                <w:szCs w:val="22"/>
              </w:rPr>
            </w:pPr>
            <w:bookmarkStart w:id="2" w:name="dcusa_response3"/>
            <w:r w:rsidRPr="007A0F4A">
              <w:rPr>
                <w:rFonts w:asciiTheme="minorHAnsi" w:hAnsiTheme="minorHAnsi" w:cstheme="minorHAnsi"/>
                <w:b w:val="0"/>
                <w:bCs/>
                <w:sz w:val="22"/>
                <w:szCs w:val="22"/>
              </w:rPr>
              <w:t>Company</w:t>
            </w:r>
          </w:p>
        </w:tc>
        <w:tc>
          <w:tcPr>
            <w:tcW w:w="1484" w:type="dxa"/>
            <w:shd w:val="clear" w:color="auto" w:fill="E2EFD9" w:themeFill="accent6" w:themeFillTint="33"/>
          </w:tcPr>
          <w:p w14:paraId="1069C765"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5132EA7"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115" w:type="dxa"/>
            <w:shd w:val="clear" w:color="auto" w:fill="E2EFD9" w:themeFill="accent6" w:themeFillTint="33"/>
          </w:tcPr>
          <w:p w14:paraId="0BF1A905" w14:textId="12A282C7" w:rsidR="00961EDD" w:rsidRPr="007A0F4A" w:rsidRDefault="00B3293A">
            <w:pPr>
              <w:pStyle w:val="BodyTextNoSpacing"/>
              <w:numPr>
                <w:ilvl w:val="0"/>
                <w:numId w:val="3"/>
              </w:numPr>
              <w:rPr>
                <w:rFonts w:asciiTheme="minorHAnsi" w:hAnsiTheme="minorHAnsi" w:cstheme="minorHAnsi"/>
                <w:bCs/>
                <w:sz w:val="22"/>
                <w:szCs w:val="22"/>
              </w:rPr>
            </w:pPr>
            <w:r w:rsidRPr="00B3293A">
              <w:rPr>
                <w:rFonts w:asciiTheme="minorHAnsi" w:hAnsiTheme="minorHAnsi" w:cstheme="minorHAnsi"/>
                <w:bCs/>
                <w:sz w:val="22"/>
                <w:szCs w:val="22"/>
              </w:rPr>
              <w:t>Do you agree that the underlying methodology for determining the Curtailment Limit is appropriate? If not, please detail an alternative methodology that could be considered.</w:t>
            </w:r>
          </w:p>
        </w:tc>
        <w:tc>
          <w:tcPr>
            <w:tcW w:w="3751" w:type="dxa"/>
            <w:shd w:val="clear" w:color="auto" w:fill="E2EFD9" w:themeFill="accent6" w:themeFillTint="33"/>
          </w:tcPr>
          <w:p w14:paraId="0420906E" w14:textId="23902C38" w:rsidR="00961EDD" w:rsidRPr="007A0F4A" w:rsidRDefault="00961EDD" w:rsidP="00961ED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40453B1C" w14:textId="77777777" w:rsidTr="0015638A">
        <w:tc>
          <w:tcPr>
            <w:tcW w:w="1730" w:type="dxa"/>
          </w:tcPr>
          <w:p w14:paraId="58DD0B11" w14:textId="60CBDC21" w:rsidR="00895CE0" w:rsidRPr="00895CE0" w:rsidRDefault="00895CE0" w:rsidP="00F758BF">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BU-UK</w:t>
            </w:r>
          </w:p>
        </w:tc>
        <w:tc>
          <w:tcPr>
            <w:tcW w:w="1484" w:type="dxa"/>
          </w:tcPr>
          <w:p w14:paraId="32FE63F8" w14:textId="77777777" w:rsidR="00895CE0" w:rsidRPr="007A0F4A" w:rsidRDefault="00895CE0" w:rsidP="00F758BF">
            <w:pPr>
              <w:pStyle w:val="BodyTextNoSpacing"/>
              <w:rPr>
                <w:rFonts w:asciiTheme="minorHAnsi" w:hAnsiTheme="minorHAnsi" w:cstheme="minorHAnsi"/>
                <w:bCs/>
                <w:sz w:val="22"/>
                <w:szCs w:val="22"/>
              </w:rPr>
            </w:pPr>
          </w:p>
        </w:tc>
        <w:tc>
          <w:tcPr>
            <w:tcW w:w="7115" w:type="dxa"/>
          </w:tcPr>
          <w:p w14:paraId="644DE966" w14:textId="7C91DCF7" w:rsidR="00895CE0" w:rsidRPr="00332B53" w:rsidRDefault="00895CE0" w:rsidP="00F758BF">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rPr>
              <w:t>Yes, we agree that these are the most appropriate data to use to determine the Curtailment limit for a new connection</w:t>
            </w:r>
            <w:r w:rsidRPr="00332B53">
              <w:rPr>
                <w:rFonts w:asciiTheme="minorHAnsi" w:hAnsiTheme="minorHAnsi" w:cstheme="minorHAnsi"/>
                <w:bCs/>
                <w:sz w:val="22"/>
                <w:szCs w:val="22"/>
                <w:lang w:val="en-GB"/>
              </w:rPr>
              <w:t>.</w:t>
            </w:r>
          </w:p>
        </w:tc>
        <w:tc>
          <w:tcPr>
            <w:tcW w:w="3751" w:type="dxa"/>
            <w:shd w:val="clear" w:color="auto" w:fill="E2EFD9" w:themeFill="accent6" w:themeFillTint="33"/>
          </w:tcPr>
          <w:p w14:paraId="1BFFD2C3" w14:textId="77777777" w:rsidR="00895CE0" w:rsidRPr="00332B53" w:rsidRDefault="00895CE0" w:rsidP="00F758BF">
            <w:pPr>
              <w:autoSpaceDE w:val="0"/>
              <w:autoSpaceDN w:val="0"/>
              <w:adjustRightInd w:val="0"/>
              <w:rPr>
                <w:rFonts w:asciiTheme="minorHAnsi" w:hAnsiTheme="minorHAnsi" w:cstheme="minorHAnsi"/>
                <w:bCs/>
                <w:sz w:val="22"/>
                <w:szCs w:val="22"/>
              </w:rPr>
            </w:pPr>
          </w:p>
        </w:tc>
      </w:tr>
      <w:tr w:rsidR="00C07E70" w:rsidRPr="00332B53" w14:paraId="51394B69" w14:textId="77777777" w:rsidTr="0015638A">
        <w:tc>
          <w:tcPr>
            <w:tcW w:w="1730" w:type="dxa"/>
          </w:tcPr>
          <w:p w14:paraId="58DDEA04" w14:textId="726E25BC"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484" w:type="dxa"/>
          </w:tcPr>
          <w:p w14:paraId="54676E66"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1F031BD1" w14:textId="4473D290" w:rsidR="00C07E70" w:rsidRPr="00332B53" w:rsidRDefault="00D07E32" w:rsidP="00C07E70">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1" w:type="dxa"/>
            <w:shd w:val="clear" w:color="auto" w:fill="E2EFD9" w:themeFill="accent6" w:themeFillTint="33"/>
          </w:tcPr>
          <w:p w14:paraId="554EF5D2"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77AB93D3" w14:textId="77777777" w:rsidTr="0015638A">
        <w:tc>
          <w:tcPr>
            <w:tcW w:w="1730" w:type="dxa"/>
          </w:tcPr>
          <w:p w14:paraId="044ECCE9" w14:textId="06AA8FF1"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484" w:type="dxa"/>
          </w:tcPr>
          <w:p w14:paraId="5E17CAFA"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51D2CBD6" w14:textId="3BD490FC" w:rsidR="00C07E70" w:rsidRPr="00332B53" w:rsidRDefault="007F3C00" w:rsidP="00C07E70">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believe that the underlying methodology for determining Curtailment Limits is correct and we note that no alternative has been suggested either through the Working Group process or beforehand.</w:t>
            </w:r>
          </w:p>
        </w:tc>
        <w:tc>
          <w:tcPr>
            <w:tcW w:w="3751" w:type="dxa"/>
            <w:shd w:val="clear" w:color="auto" w:fill="E2EFD9" w:themeFill="accent6" w:themeFillTint="33"/>
          </w:tcPr>
          <w:p w14:paraId="1EE2A39D"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3151E10B" w14:textId="77777777" w:rsidTr="0015638A">
        <w:tc>
          <w:tcPr>
            <w:tcW w:w="1730" w:type="dxa"/>
          </w:tcPr>
          <w:p w14:paraId="6ABE70B1" w14:textId="5860D7A8"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484" w:type="dxa"/>
          </w:tcPr>
          <w:p w14:paraId="26F6298B"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4CA47AE8" w14:textId="32625BE5" w:rsidR="00C07E70" w:rsidRPr="00332B53" w:rsidRDefault="00E25A06" w:rsidP="00C07E70">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have not identified any issues with the underlying methodology.</w:t>
            </w:r>
          </w:p>
        </w:tc>
        <w:tc>
          <w:tcPr>
            <w:tcW w:w="3751" w:type="dxa"/>
            <w:shd w:val="clear" w:color="auto" w:fill="E2EFD9" w:themeFill="accent6" w:themeFillTint="33"/>
          </w:tcPr>
          <w:p w14:paraId="5D0C0613"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46C3515D" w14:textId="77777777" w:rsidTr="001A138C">
        <w:tc>
          <w:tcPr>
            <w:tcW w:w="1730" w:type="dxa"/>
            <w:shd w:val="clear" w:color="auto" w:fill="D9D9D9" w:themeFill="background1" w:themeFillShade="D9"/>
          </w:tcPr>
          <w:p w14:paraId="2BEEA9BA" w14:textId="163E3056"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484" w:type="dxa"/>
            <w:shd w:val="clear" w:color="auto" w:fill="D9D9D9" w:themeFill="background1" w:themeFillShade="D9"/>
          </w:tcPr>
          <w:p w14:paraId="7DF214BD" w14:textId="77777777" w:rsidR="00C07E70" w:rsidRPr="007A0F4A" w:rsidRDefault="00C07E70" w:rsidP="00C07E70">
            <w:pPr>
              <w:pStyle w:val="BodyTextNoSpacing"/>
              <w:rPr>
                <w:rFonts w:asciiTheme="minorHAnsi" w:hAnsiTheme="minorHAnsi" w:cstheme="minorHAnsi"/>
                <w:bCs/>
                <w:sz w:val="22"/>
                <w:szCs w:val="22"/>
              </w:rPr>
            </w:pPr>
          </w:p>
        </w:tc>
        <w:tc>
          <w:tcPr>
            <w:tcW w:w="7115" w:type="dxa"/>
            <w:shd w:val="clear" w:color="auto" w:fill="D9D9D9" w:themeFill="background1" w:themeFillShade="D9"/>
          </w:tcPr>
          <w:p w14:paraId="4B12A480" w14:textId="189E8E4E" w:rsidR="00C07E70" w:rsidRPr="00332B53" w:rsidRDefault="001A138C" w:rsidP="00C07E70">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1" w:type="dxa"/>
            <w:shd w:val="clear" w:color="auto" w:fill="D9D9D9" w:themeFill="background1" w:themeFillShade="D9"/>
          </w:tcPr>
          <w:p w14:paraId="253D967F"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5E4DA399" w14:textId="77777777" w:rsidTr="0015638A">
        <w:tc>
          <w:tcPr>
            <w:tcW w:w="1730" w:type="dxa"/>
          </w:tcPr>
          <w:p w14:paraId="3A31E0AA" w14:textId="6AD100B9"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484" w:type="dxa"/>
          </w:tcPr>
          <w:p w14:paraId="2684BEB0"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4D94331D" w14:textId="47086585" w:rsidR="00C07E70" w:rsidRPr="00332B53" w:rsidRDefault="00A964B9" w:rsidP="00C07E70">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are comfortable with proposed approach whilst recognising the need to (potentially) trade-off simplicity and consistency of application with deriving an ‘accurate’ result in all cases. We agree with need to allow Ofgem to direct that a different approach is used where appropriate to mitigate this concern.</w:t>
            </w:r>
          </w:p>
        </w:tc>
        <w:tc>
          <w:tcPr>
            <w:tcW w:w="3751" w:type="dxa"/>
            <w:shd w:val="clear" w:color="auto" w:fill="E2EFD9" w:themeFill="accent6" w:themeFillTint="33"/>
          </w:tcPr>
          <w:p w14:paraId="4979BCD2"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2B9DC545" w14:textId="77777777" w:rsidTr="0015638A">
        <w:tc>
          <w:tcPr>
            <w:tcW w:w="1730" w:type="dxa"/>
          </w:tcPr>
          <w:p w14:paraId="7F6DF26E" w14:textId="6F159CDC"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484" w:type="dxa"/>
          </w:tcPr>
          <w:p w14:paraId="37FA54C8"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19934903" w14:textId="1686822F" w:rsidR="00C07E70" w:rsidRPr="00332B53" w:rsidRDefault="00017234" w:rsidP="00C07E70">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1" w:type="dxa"/>
            <w:shd w:val="clear" w:color="auto" w:fill="E2EFD9" w:themeFill="accent6" w:themeFillTint="33"/>
          </w:tcPr>
          <w:p w14:paraId="4264AF16"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37333ED3" w14:textId="77777777" w:rsidTr="0015638A">
        <w:tc>
          <w:tcPr>
            <w:tcW w:w="1730" w:type="dxa"/>
          </w:tcPr>
          <w:p w14:paraId="68C33B31" w14:textId="2B2F943E"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484" w:type="dxa"/>
          </w:tcPr>
          <w:p w14:paraId="24C2A690"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5A7C9B08" w14:textId="7FEACF77" w:rsidR="00C07E70" w:rsidRPr="00332B53" w:rsidRDefault="001F67DB" w:rsidP="00C07E70">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agree with the proposed methodology</w:t>
            </w:r>
          </w:p>
        </w:tc>
        <w:tc>
          <w:tcPr>
            <w:tcW w:w="3751" w:type="dxa"/>
            <w:shd w:val="clear" w:color="auto" w:fill="E2EFD9" w:themeFill="accent6" w:themeFillTint="33"/>
          </w:tcPr>
          <w:p w14:paraId="79546F00"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203C876B" w14:textId="77777777" w:rsidTr="0015638A">
        <w:tc>
          <w:tcPr>
            <w:tcW w:w="1730" w:type="dxa"/>
          </w:tcPr>
          <w:p w14:paraId="46FB358C" w14:textId="2BFB390D" w:rsidR="00C07E70" w:rsidRPr="007A0F4A" w:rsidRDefault="00C07E70" w:rsidP="00C07E70">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484" w:type="dxa"/>
          </w:tcPr>
          <w:p w14:paraId="2E421E51" w14:textId="3C1F601C" w:rsidR="00C07E70" w:rsidRPr="007A0F4A" w:rsidRDefault="00C07E70" w:rsidP="00C07E70">
            <w:pPr>
              <w:pStyle w:val="BodyTextNoSpacing"/>
              <w:rPr>
                <w:rFonts w:asciiTheme="minorHAnsi" w:hAnsiTheme="minorHAnsi" w:cstheme="minorHAnsi"/>
                <w:bCs/>
                <w:sz w:val="22"/>
                <w:szCs w:val="22"/>
              </w:rPr>
            </w:pPr>
          </w:p>
        </w:tc>
        <w:tc>
          <w:tcPr>
            <w:tcW w:w="7115" w:type="dxa"/>
          </w:tcPr>
          <w:p w14:paraId="3991D6D4" w14:textId="3920DB35" w:rsidR="00C07E70" w:rsidRPr="00332B53" w:rsidRDefault="00C07E70" w:rsidP="00C07E70">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1" w:type="dxa"/>
            <w:shd w:val="clear" w:color="auto" w:fill="E2EFD9" w:themeFill="accent6" w:themeFillTint="33"/>
          </w:tcPr>
          <w:p w14:paraId="2AEB4ED8" w14:textId="7A2386BE"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783DF455" w14:textId="77777777" w:rsidTr="0015638A">
        <w:tc>
          <w:tcPr>
            <w:tcW w:w="1730" w:type="dxa"/>
          </w:tcPr>
          <w:p w14:paraId="3ADFBBE1" w14:textId="5FC86F21" w:rsidR="00C07E70" w:rsidRPr="00895CE0" w:rsidRDefault="00C07E70" w:rsidP="00C07E70">
            <w:pPr>
              <w:pStyle w:val="BodyTextNoSpacing"/>
              <w:rPr>
                <w:rFonts w:asciiTheme="minorHAnsi" w:hAnsiTheme="minorHAnsi" w:cstheme="minorHAnsi"/>
                <w:b/>
                <w:bCs/>
                <w:sz w:val="22"/>
                <w:szCs w:val="22"/>
                <w:lang w:val="en-GB"/>
              </w:rPr>
            </w:pPr>
            <w:r w:rsidRPr="00C07E70">
              <w:rPr>
                <w:rFonts w:asciiTheme="minorHAnsi" w:hAnsiTheme="minorHAnsi" w:cstheme="minorHAnsi"/>
                <w:b/>
                <w:bCs/>
                <w:sz w:val="22"/>
                <w:szCs w:val="22"/>
                <w:lang w:val="en-GB"/>
              </w:rPr>
              <w:t>SPEN</w:t>
            </w:r>
          </w:p>
        </w:tc>
        <w:tc>
          <w:tcPr>
            <w:tcW w:w="1484" w:type="dxa"/>
          </w:tcPr>
          <w:p w14:paraId="343776EA"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4ED9B01F" w14:textId="670FDE03" w:rsidR="00C07E70" w:rsidRPr="00332B53" w:rsidRDefault="000C6C27" w:rsidP="00C07E70">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The proposal provides a methodology for radial networks.  The calculations will need to be adapted or modified for more complex network arrangements (e.g. meshed), therefore we suggest that this is acknowledged in the legal text.</w:t>
            </w:r>
          </w:p>
        </w:tc>
        <w:tc>
          <w:tcPr>
            <w:tcW w:w="3751" w:type="dxa"/>
            <w:shd w:val="clear" w:color="auto" w:fill="E2EFD9" w:themeFill="accent6" w:themeFillTint="33"/>
          </w:tcPr>
          <w:p w14:paraId="1046692F"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714C06FD" w14:textId="77777777" w:rsidTr="0015638A">
        <w:tc>
          <w:tcPr>
            <w:tcW w:w="1730" w:type="dxa"/>
          </w:tcPr>
          <w:p w14:paraId="30D7C863" w14:textId="275C22CD" w:rsidR="00C07E70" w:rsidRPr="00895CE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484" w:type="dxa"/>
          </w:tcPr>
          <w:p w14:paraId="612F3BDB"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368FA952" w14:textId="4B171584" w:rsidR="00C950BA" w:rsidRPr="00332B53" w:rsidRDefault="00C950BA" w:rsidP="00C950BA">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Further explanation is needed as to why a Curtailment Threshold (other than 100%) has been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included in the curtailment calculations, and why this has been set at 95%. This has the effect of</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increasing the Curtailment Limit, thereby reducing the amount of curtailment hours which a</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Customer can be paid for. In practice, this could mean that the limit is not low enough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disincentivise curtailment.</w:t>
            </w:r>
          </w:p>
          <w:p w14:paraId="2293C364" w14:textId="77777777" w:rsidR="00C950BA" w:rsidRPr="00332B53" w:rsidRDefault="00C950BA" w:rsidP="00C950BA">
            <w:pPr>
              <w:autoSpaceDE w:val="0"/>
              <w:autoSpaceDN w:val="0"/>
              <w:adjustRightInd w:val="0"/>
              <w:rPr>
                <w:rFonts w:asciiTheme="minorHAnsi" w:hAnsiTheme="minorHAnsi" w:cstheme="minorHAnsi"/>
                <w:bCs/>
                <w:sz w:val="22"/>
                <w:szCs w:val="22"/>
              </w:rPr>
            </w:pPr>
          </w:p>
          <w:p w14:paraId="6C181BBE" w14:textId="0851365B" w:rsidR="00C07E70" w:rsidRPr="00332B53" w:rsidRDefault="00C950BA" w:rsidP="00C950BA">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The Export Curtailment Limit could be calculated as the number of instances [instead of “number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of hours”] whereby the Committed Generation Capacity exceeds the Network Asset Generation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Capacity.</w:t>
            </w:r>
          </w:p>
        </w:tc>
        <w:tc>
          <w:tcPr>
            <w:tcW w:w="3751" w:type="dxa"/>
            <w:shd w:val="clear" w:color="auto" w:fill="E2EFD9" w:themeFill="accent6" w:themeFillTint="33"/>
          </w:tcPr>
          <w:p w14:paraId="73ED4A65"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5B45F030" w14:textId="77777777" w:rsidTr="0015638A">
        <w:tc>
          <w:tcPr>
            <w:tcW w:w="1730" w:type="dxa"/>
          </w:tcPr>
          <w:p w14:paraId="0217220A" w14:textId="14AFD5D6" w:rsidR="00C07E70" w:rsidRPr="00895CE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484" w:type="dxa"/>
          </w:tcPr>
          <w:p w14:paraId="4C819114"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27C210A9" w14:textId="74B4F10D" w:rsidR="00745814" w:rsidRPr="00332B53" w:rsidRDefault="00745814" w:rsidP="00745814">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 xml:space="preserve">The curtailment methodology must balance requirements for standardisation, transparency, repeatability and efficiency alongside a need for accuracy.  We accept that this proposal is a good compromise though note that there are likely to be circumstances where this methodology is inadequate and will need alternative or supplementary calculations. </w:t>
            </w:r>
          </w:p>
          <w:p w14:paraId="5C90889D" w14:textId="77777777" w:rsidR="00745814" w:rsidRPr="00332B53" w:rsidRDefault="00745814" w:rsidP="00745814">
            <w:pPr>
              <w:autoSpaceDE w:val="0"/>
              <w:autoSpaceDN w:val="0"/>
              <w:adjustRightInd w:val="0"/>
              <w:rPr>
                <w:rFonts w:asciiTheme="minorHAnsi" w:hAnsiTheme="minorHAnsi" w:cstheme="minorHAnsi"/>
                <w:bCs/>
                <w:sz w:val="22"/>
                <w:szCs w:val="22"/>
              </w:rPr>
            </w:pPr>
          </w:p>
          <w:p w14:paraId="68F8D991" w14:textId="78EB0382" w:rsidR="00745814" w:rsidRPr="00332B53" w:rsidRDefault="00745814" w:rsidP="00745814">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rPr>
              <w:t>For example,  situations mayarise where different constraints cannot be resolved into a single ‘Network Asset Demand Capacity;’ and likewise in a mesh network, power flows may run asymmetrically and not in direct proportion to the sum of demand and generation on the</w:t>
            </w:r>
            <w:r w:rsidRPr="00332B53">
              <w:rPr>
                <w:rFonts w:asciiTheme="minorHAnsi" w:hAnsiTheme="minorHAnsi" w:cstheme="minorHAnsi"/>
                <w:bCs/>
                <w:sz w:val="22"/>
                <w:szCs w:val="22"/>
                <w:lang w:val="en-GB"/>
              </w:rPr>
              <w:t xml:space="preserve"> network.  In both these cases simple computational solutions may be possible – such as the use of sensitivity or coincidence factors.  We believe it is important that the code permits adjustments to the methodology without necessarily applying for derogation, in accordance with good engineering practice.  Should adjustments be necessary, they should be clearly communicated to the customer along with description of any additional calculations that have been included.</w:t>
            </w:r>
          </w:p>
          <w:p w14:paraId="6AF283BE" w14:textId="77777777" w:rsidR="00745814" w:rsidRPr="00332B53" w:rsidRDefault="00745814" w:rsidP="00745814">
            <w:pPr>
              <w:autoSpaceDE w:val="0"/>
              <w:autoSpaceDN w:val="0"/>
              <w:adjustRightInd w:val="0"/>
              <w:rPr>
                <w:rFonts w:asciiTheme="minorHAnsi" w:hAnsiTheme="minorHAnsi" w:cstheme="minorHAnsi"/>
                <w:bCs/>
                <w:sz w:val="22"/>
                <w:szCs w:val="22"/>
                <w:lang w:val="en-GB"/>
              </w:rPr>
            </w:pPr>
          </w:p>
          <w:p w14:paraId="2DBF7282" w14:textId="77777777" w:rsidR="00745814" w:rsidRPr="00332B53" w:rsidRDefault="00745814" w:rsidP="00745814">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Whilst we note that the drafting includes a specific clause to refer to the Authority in such </w:t>
            </w:r>
            <w:proofErr w:type="gramStart"/>
            <w:r w:rsidRPr="00332B53">
              <w:rPr>
                <w:rFonts w:asciiTheme="minorHAnsi" w:hAnsiTheme="minorHAnsi" w:cstheme="minorHAnsi"/>
                <w:bCs/>
                <w:sz w:val="22"/>
                <w:szCs w:val="22"/>
                <w:lang w:val="en-GB"/>
              </w:rPr>
              <w:t>circumstances</w:t>
            </w:r>
            <w:proofErr w:type="gramEnd"/>
            <w:r w:rsidRPr="00332B53">
              <w:rPr>
                <w:rFonts w:asciiTheme="minorHAnsi" w:hAnsiTheme="minorHAnsi" w:cstheme="minorHAnsi"/>
                <w:bCs/>
                <w:sz w:val="22"/>
                <w:szCs w:val="22"/>
                <w:lang w:val="en-GB"/>
              </w:rPr>
              <w:t xml:space="preserve"> we are concerned this may be too slow and ultimately unnecessary – please see our response to Question 8.</w:t>
            </w:r>
          </w:p>
          <w:p w14:paraId="3C78D225" w14:textId="77777777" w:rsidR="00745814" w:rsidRPr="00332B53" w:rsidRDefault="00745814" w:rsidP="00745814">
            <w:pPr>
              <w:autoSpaceDE w:val="0"/>
              <w:autoSpaceDN w:val="0"/>
              <w:adjustRightInd w:val="0"/>
              <w:rPr>
                <w:rFonts w:asciiTheme="minorHAnsi" w:hAnsiTheme="minorHAnsi" w:cstheme="minorHAnsi"/>
                <w:bCs/>
                <w:sz w:val="22"/>
                <w:szCs w:val="22"/>
                <w:lang w:val="en-GB"/>
              </w:rPr>
            </w:pPr>
          </w:p>
          <w:p w14:paraId="2498AF1C" w14:textId="0222A4A5" w:rsidR="00745814" w:rsidRPr="00332B53" w:rsidRDefault="00745814" w:rsidP="00745814">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Separately, we note the spreadsheet might be further refined to include the seasonal and time-varying aspects of ‘Network Asset Demand Capacity’</w:t>
            </w:r>
          </w:p>
          <w:p w14:paraId="06130132" w14:textId="77777777" w:rsidR="00745814" w:rsidRPr="00332B53" w:rsidRDefault="00745814" w:rsidP="00745814">
            <w:pPr>
              <w:autoSpaceDE w:val="0"/>
              <w:autoSpaceDN w:val="0"/>
              <w:adjustRightInd w:val="0"/>
              <w:rPr>
                <w:rFonts w:asciiTheme="minorHAnsi" w:hAnsiTheme="minorHAnsi" w:cstheme="minorHAnsi"/>
                <w:bCs/>
                <w:sz w:val="22"/>
                <w:szCs w:val="22"/>
                <w:lang w:val="en-GB"/>
              </w:rPr>
            </w:pPr>
          </w:p>
          <w:p w14:paraId="21A795FE" w14:textId="10827C66" w:rsidR="00C07E70" w:rsidRPr="00332B53" w:rsidRDefault="00745814" w:rsidP="00745814">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It is essential that the effectiveness of the solution is kept under review and adjusted through open governance as/if necessary.</w:t>
            </w:r>
          </w:p>
        </w:tc>
        <w:tc>
          <w:tcPr>
            <w:tcW w:w="3751" w:type="dxa"/>
            <w:shd w:val="clear" w:color="auto" w:fill="E2EFD9" w:themeFill="accent6" w:themeFillTint="33"/>
          </w:tcPr>
          <w:p w14:paraId="35320711"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000D59C0" w14:textId="77777777" w:rsidTr="0015638A">
        <w:tc>
          <w:tcPr>
            <w:tcW w:w="1730" w:type="dxa"/>
          </w:tcPr>
          <w:p w14:paraId="3264A9FB" w14:textId="38AB3188" w:rsidR="00C07E70" w:rsidRPr="00895CE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UKPN</w:t>
            </w:r>
          </w:p>
        </w:tc>
        <w:tc>
          <w:tcPr>
            <w:tcW w:w="1484" w:type="dxa"/>
          </w:tcPr>
          <w:p w14:paraId="5AD9C518"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63F1A71E" w14:textId="015E8F5E" w:rsidR="00B105CC" w:rsidRPr="00332B53" w:rsidRDefault="00B105CC" w:rsidP="00B105CC">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We agree that the underlying methodology is appropriate in principle. It strikes the right balance between simplicity and making sure that the values generated are based on known network conditions and the impact of other customers and connections.</w:t>
            </w:r>
          </w:p>
          <w:p w14:paraId="23AEA819" w14:textId="77777777" w:rsidR="00B105CC" w:rsidRPr="00332B53" w:rsidRDefault="00B105CC" w:rsidP="00B105CC">
            <w:pPr>
              <w:autoSpaceDE w:val="0"/>
              <w:autoSpaceDN w:val="0"/>
              <w:adjustRightInd w:val="0"/>
              <w:rPr>
                <w:rFonts w:asciiTheme="minorHAnsi" w:hAnsiTheme="minorHAnsi" w:cstheme="minorHAnsi"/>
                <w:bCs/>
                <w:sz w:val="22"/>
                <w:szCs w:val="22"/>
              </w:rPr>
            </w:pPr>
          </w:p>
          <w:p w14:paraId="2F4B7BF6" w14:textId="77777777" w:rsidR="00C07E70" w:rsidRPr="00332B53" w:rsidRDefault="00B105CC" w:rsidP="00B105CC">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The methodology is also transparent which is important for customer engagement – customers will be able to understand how their curtailment limit was generated.</w:t>
            </w:r>
          </w:p>
          <w:p w14:paraId="7AF6F83D" w14:textId="77777777" w:rsidR="00B105CC" w:rsidRPr="00332B53" w:rsidRDefault="00B105CC" w:rsidP="00B105CC">
            <w:pPr>
              <w:autoSpaceDE w:val="0"/>
              <w:autoSpaceDN w:val="0"/>
              <w:adjustRightInd w:val="0"/>
              <w:rPr>
                <w:rFonts w:asciiTheme="minorHAnsi" w:hAnsiTheme="minorHAnsi" w:cstheme="minorHAnsi"/>
                <w:bCs/>
                <w:sz w:val="22"/>
                <w:szCs w:val="22"/>
              </w:rPr>
            </w:pPr>
          </w:p>
          <w:p w14:paraId="7AABA849" w14:textId="0DE2008F" w:rsidR="00B105CC" w:rsidRPr="00332B53" w:rsidRDefault="00B105CC" w:rsidP="00B105CC">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However, in practice we have observed that the limits generated by the methodology differ materially from curtailment estimates that would be generated from our current approach to curtailment assessment which makes use of more complex load flow modelling.</w:t>
            </w:r>
          </w:p>
          <w:p w14:paraId="323C2FF6" w14:textId="77777777" w:rsidR="00B105CC" w:rsidRPr="00332B53" w:rsidRDefault="00B105CC" w:rsidP="00B105CC">
            <w:pPr>
              <w:autoSpaceDE w:val="0"/>
              <w:autoSpaceDN w:val="0"/>
              <w:adjustRightInd w:val="0"/>
              <w:rPr>
                <w:rFonts w:asciiTheme="minorHAnsi" w:hAnsiTheme="minorHAnsi" w:cstheme="minorHAnsi"/>
                <w:bCs/>
                <w:sz w:val="22"/>
                <w:szCs w:val="22"/>
              </w:rPr>
            </w:pPr>
          </w:p>
          <w:p w14:paraId="2663EF6F" w14:textId="4A08CB2E" w:rsidR="00B105CC" w:rsidRPr="00332B53" w:rsidRDefault="00B105CC" w:rsidP="00B105CC">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It would not be practical to adopt such complex modelling to generate curtailment limits as proposed by the DCP. However, we believe our analysis can inform some adjustments that can be made to the proposed common methodology to make the limits being generated more accurate.</w:t>
            </w:r>
          </w:p>
          <w:p w14:paraId="4E67833E" w14:textId="77777777" w:rsidR="00B105CC" w:rsidRPr="00332B53" w:rsidRDefault="00B105CC" w:rsidP="00B105CC">
            <w:pPr>
              <w:autoSpaceDE w:val="0"/>
              <w:autoSpaceDN w:val="0"/>
              <w:adjustRightInd w:val="0"/>
              <w:rPr>
                <w:rFonts w:asciiTheme="minorHAnsi" w:hAnsiTheme="minorHAnsi" w:cstheme="minorHAnsi"/>
                <w:bCs/>
                <w:sz w:val="22"/>
                <w:szCs w:val="22"/>
              </w:rPr>
            </w:pPr>
          </w:p>
          <w:p w14:paraId="6F6B0B6C" w14:textId="62E532FD" w:rsidR="00B105CC" w:rsidRPr="00332B53" w:rsidRDefault="00B105CC" w:rsidP="00B105CC">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We have outlined these proposed adjustments in our response to questions 4 to 7 below as appropriate.</w:t>
            </w:r>
          </w:p>
        </w:tc>
        <w:tc>
          <w:tcPr>
            <w:tcW w:w="3751" w:type="dxa"/>
            <w:shd w:val="clear" w:color="auto" w:fill="E2EFD9" w:themeFill="accent6" w:themeFillTint="33"/>
          </w:tcPr>
          <w:p w14:paraId="78A2290A"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332B53" w14:paraId="7B43EAB7" w14:textId="77777777" w:rsidTr="0015638A">
        <w:tc>
          <w:tcPr>
            <w:tcW w:w="1730" w:type="dxa"/>
          </w:tcPr>
          <w:p w14:paraId="47F1989B" w14:textId="1A98107D" w:rsidR="00C07E70" w:rsidRPr="00895CE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484" w:type="dxa"/>
          </w:tcPr>
          <w:p w14:paraId="1A783B4B"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292AB99D" w14:textId="77777777" w:rsidR="00FC694B" w:rsidRPr="00332B53" w:rsidRDefault="00FC694B" w:rsidP="00FC694B">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 xml:space="preserve">The methodology needs to be balance being as simplistic (and easy and quick to use) as possible whilst also delivering an accurate curtailment limit. </w:t>
            </w:r>
          </w:p>
          <w:p w14:paraId="671F8A8F" w14:textId="77777777" w:rsidR="00FC694B" w:rsidRPr="00332B53" w:rsidRDefault="00FC694B" w:rsidP="00FC694B">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The methodology may have to be refined over time i.e. to consider meshed networks and to consider curtailment caused by multiple constraints.</w:t>
            </w:r>
          </w:p>
          <w:p w14:paraId="40137793" w14:textId="77777777" w:rsidR="00FC694B" w:rsidRPr="00332B53" w:rsidRDefault="00FC694B" w:rsidP="00FC694B">
            <w:pPr>
              <w:autoSpaceDE w:val="0"/>
              <w:autoSpaceDN w:val="0"/>
              <w:adjustRightInd w:val="0"/>
              <w:rPr>
                <w:rFonts w:asciiTheme="minorHAnsi" w:hAnsiTheme="minorHAnsi" w:cstheme="minorHAnsi"/>
                <w:bCs/>
                <w:sz w:val="22"/>
                <w:szCs w:val="22"/>
              </w:rPr>
            </w:pPr>
          </w:p>
          <w:p w14:paraId="11875C94" w14:textId="45DF2442" w:rsidR="00C07E70" w:rsidRPr="00332B53" w:rsidRDefault="00FC694B" w:rsidP="00FC694B">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lastRenderedPageBreak/>
              <w:t>It would also be useful for the tool to have the capability to consider multiple constraints per half hour; otherwise it is possible the curtailment limit will be below a DNO’s own assessment of the curtailment level.</w:t>
            </w:r>
          </w:p>
        </w:tc>
        <w:tc>
          <w:tcPr>
            <w:tcW w:w="3751" w:type="dxa"/>
            <w:shd w:val="clear" w:color="auto" w:fill="E2EFD9" w:themeFill="accent6" w:themeFillTint="33"/>
          </w:tcPr>
          <w:p w14:paraId="10F75350"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C07E70" w:rsidRPr="007A0F4A" w14:paraId="3E8BB77F" w14:textId="77777777" w:rsidTr="00C603CF">
        <w:trPr>
          <w:trHeight w:val="583"/>
        </w:trPr>
        <w:tc>
          <w:tcPr>
            <w:tcW w:w="14080" w:type="dxa"/>
            <w:gridSpan w:val="4"/>
            <w:shd w:val="clear" w:color="auto" w:fill="E2EFD9" w:themeFill="accent6" w:themeFillTint="33"/>
          </w:tcPr>
          <w:p w14:paraId="231382C0" w14:textId="1002C130" w:rsidR="00C07E70" w:rsidRPr="007A0F4A" w:rsidRDefault="00C07E70" w:rsidP="00C07E70">
            <w:pPr>
              <w:autoSpaceDE w:val="0"/>
              <w:autoSpaceDN w:val="0"/>
              <w:adjustRightInd w:val="0"/>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bookmarkEnd w:id="2"/>
    </w:tbl>
    <w:p w14:paraId="3DFC291C"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2CD51857" w14:textId="414662D2" w:rsidTr="000B48B1">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2ACFE7" w14:textId="77777777" w:rsidR="005563EC" w:rsidRPr="007A0F4A" w:rsidRDefault="005563EC" w:rsidP="00BC57D8">
            <w:pPr>
              <w:pStyle w:val="ColumnHeading"/>
              <w:rPr>
                <w:rFonts w:asciiTheme="minorHAnsi" w:hAnsiTheme="minorHAnsi" w:cstheme="minorHAnsi"/>
                <w:b w:val="0"/>
                <w:bCs/>
                <w:sz w:val="22"/>
                <w:szCs w:val="22"/>
              </w:rPr>
            </w:pPr>
            <w:bookmarkStart w:id="3" w:name="dcusa_response4"/>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2767E07"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6CD935C"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79AE879" w14:textId="6725A724" w:rsidR="005563EC" w:rsidRPr="007A0F4A" w:rsidRDefault="00E764FC">
            <w:pPr>
              <w:pStyle w:val="BodyTextNoSpacing"/>
              <w:numPr>
                <w:ilvl w:val="0"/>
                <w:numId w:val="3"/>
              </w:numPr>
              <w:rPr>
                <w:rFonts w:asciiTheme="minorHAnsi" w:hAnsiTheme="minorHAnsi" w:cstheme="minorHAnsi"/>
                <w:bCs/>
                <w:sz w:val="22"/>
                <w:szCs w:val="22"/>
              </w:rPr>
            </w:pPr>
            <w:r w:rsidRPr="00E764FC">
              <w:rPr>
                <w:rFonts w:asciiTheme="minorHAnsi" w:hAnsiTheme="minorHAnsi" w:cstheme="minorHAnsi"/>
                <w:bCs/>
                <w:sz w:val="22"/>
                <w:szCs w:val="22"/>
              </w:rPr>
              <w:t>Do you agree that the proposed profiles for assessing the Import Curtailment Limit and Export Curtailment Limit are appropriate? If not, please provide your reasons why.</w:t>
            </w:r>
          </w:p>
        </w:tc>
        <w:tc>
          <w:tcPr>
            <w:tcW w:w="3752" w:type="dxa"/>
            <w:shd w:val="clear" w:color="auto" w:fill="E2EFD9" w:themeFill="accent6" w:themeFillTint="33"/>
          </w:tcPr>
          <w:p w14:paraId="4449F08D" w14:textId="470B544B" w:rsidR="005563EC" w:rsidRPr="007A0F4A" w:rsidRDefault="005563EC" w:rsidP="005563EC">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7A0F4A" w14:paraId="43B2D34B" w14:textId="77777777" w:rsidTr="0015638A">
        <w:tc>
          <w:tcPr>
            <w:tcW w:w="1730" w:type="dxa"/>
          </w:tcPr>
          <w:p w14:paraId="0277EB87" w14:textId="3E60B146" w:rsidR="00895CE0" w:rsidRDefault="00895CE0"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4D933D2F" w14:textId="77777777" w:rsidR="00895CE0" w:rsidRPr="007A0F4A" w:rsidRDefault="00895CE0" w:rsidP="00AE65B2">
            <w:pPr>
              <w:pStyle w:val="BodyTextNoSpacing"/>
              <w:rPr>
                <w:rFonts w:asciiTheme="minorHAnsi" w:hAnsiTheme="minorHAnsi" w:cstheme="minorHAnsi"/>
                <w:bCs/>
                <w:sz w:val="22"/>
                <w:szCs w:val="22"/>
              </w:rPr>
            </w:pPr>
          </w:p>
        </w:tc>
        <w:tc>
          <w:tcPr>
            <w:tcW w:w="7069" w:type="dxa"/>
          </w:tcPr>
          <w:p w14:paraId="249F1530" w14:textId="14348814" w:rsidR="00895CE0" w:rsidRPr="00332B53" w:rsidRDefault="00895CE0" w:rsidP="00AE65B2">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5FC8624" w14:textId="77777777" w:rsidR="00895CE0" w:rsidRPr="003233BA" w:rsidRDefault="00895CE0" w:rsidP="00AE65B2">
            <w:pPr>
              <w:pStyle w:val="BodyText"/>
              <w:rPr>
                <w:rFonts w:cstheme="minorHAnsi"/>
                <w:bCs/>
              </w:rPr>
            </w:pPr>
          </w:p>
        </w:tc>
      </w:tr>
      <w:tr w:rsidR="00C07E70" w:rsidRPr="007A0F4A" w14:paraId="7D57D08D" w14:textId="77777777" w:rsidTr="0015638A">
        <w:tc>
          <w:tcPr>
            <w:tcW w:w="1730" w:type="dxa"/>
          </w:tcPr>
          <w:p w14:paraId="0A93FA38" w14:textId="4F6A6FD2"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9F2EB3E"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27378C81" w14:textId="5F441FD8" w:rsidR="00C07E70" w:rsidRPr="00332B53" w:rsidRDefault="00D07E32" w:rsidP="00C07E7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91608AF" w14:textId="77777777" w:rsidR="00C07E70" w:rsidRPr="003233BA" w:rsidRDefault="00C07E70" w:rsidP="00C07E70">
            <w:pPr>
              <w:pStyle w:val="BodyText"/>
              <w:rPr>
                <w:rFonts w:cstheme="minorHAnsi"/>
                <w:bCs/>
              </w:rPr>
            </w:pPr>
          </w:p>
        </w:tc>
      </w:tr>
      <w:tr w:rsidR="00C07E70" w:rsidRPr="007A0F4A" w14:paraId="24D0A791" w14:textId="77777777" w:rsidTr="0015638A">
        <w:tc>
          <w:tcPr>
            <w:tcW w:w="1730" w:type="dxa"/>
          </w:tcPr>
          <w:p w14:paraId="129E6FCE" w14:textId="4150A5F4"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6333DFEA"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5822090B" w14:textId="31890F3E" w:rsidR="00C07E70" w:rsidRPr="00332B53" w:rsidRDefault="007F3C00"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the proposed profiles are the correct base profiles for determining both the import and export curtailment limits.</w:t>
            </w:r>
          </w:p>
        </w:tc>
        <w:tc>
          <w:tcPr>
            <w:tcW w:w="3752" w:type="dxa"/>
            <w:shd w:val="clear" w:color="auto" w:fill="E2EFD9" w:themeFill="accent6" w:themeFillTint="33"/>
          </w:tcPr>
          <w:p w14:paraId="2CC1E08F" w14:textId="77777777" w:rsidR="00C07E70" w:rsidRPr="003233BA" w:rsidRDefault="00C07E70" w:rsidP="00C07E70">
            <w:pPr>
              <w:pStyle w:val="BodyText"/>
              <w:rPr>
                <w:rFonts w:cstheme="minorHAnsi"/>
                <w:bCs/>
              </w:rPr>
            </w:pPr>
          </w:p>
        </w:tc>
      </w:tr>
      <w:tr w:rsidR="00C07E70" w:rsidRPr="007A0F4A" w14:paraId="0316777C" w14:textId="77777777" w:rsidTr="0015638A">
        <w:tc>
          <w:tcPr>
            <w:tcW w:w="1730" w:type="dxa"/>
          </w:tcPr>
          <w:p w14:paraId="6A8B8710" w14:textId="4DFB533D"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5C955F8"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17F3C6D0" w14:textId="0306E581" w:rsidR="00C07E70" w:rsidRPr="00332B53" w:rsidRDefault="00E25A06" w:rsidP="00E25A06">
            <w:pPr>
              <w:rPr>
                <w:rFonts w:asciiTheme="minorHAnsi" w:hAnsiTheme="minorHAnsi" w:cstheme="minorHAnsi"/>
                <w:bCs/>
                <w:sz w:val="22"/>
                <w:szCs w:val="22"/>
              </w:rPr>
            </w:pPr>
            <w:r w:rsidRPr="00332B53">
              <w:rPr>
                <w:rFonts w:asciiTheme="minorHAnsi" w:hAnsiTheme="minorHAnsi" w:cstheme="minorHAnsi"/>
                <w:bCs/>
                <w:sz w:val="22"/>
                <w:szCs w:val="22"/>
              </w:rPr>
              <w:t>Yes, the proposed profiles appear appropriate for their intended use.</w:t>
            </w:r>
          </w:p>
        </w:tc>
        <w:tc>
          <w:tcPr>
            <w:tcW w:w="3752" w:type="dxa"/>
            <w:shd w:val="clear" w:color="auto" w:fill="E2EFD9" w:themeFill="accent6" w:themeFillTint="33"/>
          </w:tcPr>
          <w:p w14:paraId="7E1EEA7B" w14:textId="77777777" w:rsidR="00C07E70" w:rsidRPr="003233BA" w:rsidRDefault="00C07E70" w:rsidP="00C07E70">
            <w:pPr>
              <w:pStyle w:val="BodyText"/>
              <w:rPr>
                <w:rFonts w:cstheme="minorHAnsi"/>
                <w:bCs/>
              </w:rPr>
            </w:pPr>
          </w:p>
        </w:tc>
      </w:tr>
      <w:tr w:rsidR="00C07E70" w:rsidRPr="007A0F4A" w14:paraId="54E8908E" w14:textId="77777777" w:rsidTr="001A138C">
        <w:tc>
          <w:tcPr>
            <w:tcW w:w="1730" w:type="dxa"/>
            <w:shd w:val="clear" w:color="auto" w:fill="D9D9D9" w:themeFill="background1" w:themeFillShade="D9"/>
          </w:tcPr>
          <w:p w14:paraId="44431E04" w14:textId="3DB51D95"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DE36488" w14:textId="77777777" w:rsidR="00C07E70" w:rsidRPr="007A0F4A" w:rsidRDefault="00C07E70" w:rsidP="00C07E70">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77949084" w14:textId="07DE4005" w:rsidR="00C07E70" w:rsidRPr="00332B53" w:rsidRDefault="001A138C" w:rsidP="00C07E7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1979135D" w14:textId="77777777" w:rsidR="00C07E70" w:rsidRPr="003233BA" w:rsidRDefault="00C07E70" w:rsidP="00C07E70">
            <w:pPr>
              <w:pStyle w:val="BodyText"/>
              <w:rPr>
                <w:rFonts w:cstheme="minorHAnsi"/>
                <w:bCs/>
              </w:rPr>
            </w:pPr>
          </w:p>
        </w:tc>
      </w:tr>
      <w:tr w:rsidR="00C07E70" w:rsidRPr="007A0F4A" w14:paraId="26E47E99" w14:textId="77777777" w:rsidTr="0015638A">
        <w:tc>
          <w:tcPr>
            <w:tcW w:w="1730" w:type="dxa"/>
          </w:tcPr>
          <w:p w14:paraId="13447C0E" w14:textId="683CAF79"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557F33C"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22FBCC20"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generally comfortable in principle but have the following observations:</w:t>
            </w:r>
          </w:p>
          <w:p w14:paraId="30D2BA59" w14:textId="77777777" w:rsidR="00A964B9" w:rsidRPr="00332B53" w:rsidRDefault="00A964B9" w:rsidP="00A964B9">
            <w:pPr>
              <w:pStyle w:val="BodyText"/>
              <w:rPr>
                <w:rFonts w:asciiTheme="minorHAnsi" w:hAnsiTheme="minorHAnsi" w:cstheme="minorHAnsi"/>
                <w:bCs/>
                <w:sz w:val="22"/>
                <w:szCs w:val="22"/>
              </w:rPr>
            </w:pPr>
          </w:p>
          <w:p w14:paraId="1F43B031"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1)</w:t>
            </w:r>
            <w:r w:rsidRPr="00332B53">
              <w:rPr>
                <w:rFonts w:asciiTheme="minorHAnsi" w:hAnsiTheme="minorHAnsi" w:cstheme="minorHAnsi"/>
                <w:bCs/>
                <w:sz w:val="22"/>
                <w:szCs w:val="22"/>
              </w:rPr>
              <w:tab/>
              <w:t>Paragraph 2.3(a)(iii) refers to the use of ‘scaling’ to produce an annual half-hourly gross demand profile, where the data is not available for the asset to be reinforced. The supporting spreadsheet is very useful to illustrate the methodology in practice but appears to demonstrate the data being available without scaling but scale anyway. We consider the approach to scaling to be unclear in the Excel formula and suggest that this is explained in the legal text if this is intended to be the common approach used. The spreadsheet would benefit from ‘toggles’ etc where scaling is only applied where needed and can otherwise be ‘turned off’/does not happen automatically.</w:t>
            </w:r>
          </w:p>
          <w:p w14:paraId="02CB02B3"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2)</w:t>
            </w:r>
            <w:r w:rsidRPr="00332B53">
              <w:rPr>
                <w:rFonts w:asciiTheme="minorHAnsi" w:hAnsiTheme="minorHAnsi" w:cstheme="minorHAnsi"/>
                <w:bCs/>
                <w:sz w:val="22"/>
                <w:szCs w:val="22"/>
              </w:rPr>
              <w:tab/>
              <w:t xml:space="preserve">Paragraph 2.3(a)(v) refers to ‘grid-scale battery storage’, which we presume is distinct from the battery storage data referred to in paragraph 2.2(a)(iii)? If it is distinct, it is unclear where this data comes from and therefore it should be referenced in paragraph 2.2(a) that a DNO/IDNO Party needs to gather it. However, this step in the spreadsheet suggests that it is not distinct and adds the maximum demand for battery storage (i.e. highest value from the data in accordance with paragraph 2.2(a)(iii)) to the data in accordance with paragraph 2.3(a)(iv), for each profiled period. If this is what is needed, the legal text should be clarified to ensure alignment between it and the spreadsheet. </w:t>
            </w:r>
          </w:p>
          <w:p w14:paraId="413337A9"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3)</w:t>
            </w:r>
            <w:r w:rsidRPr="00332B53">
              <w:rPr>
                <w:rFonts w:asciiTheme="minorHAnsi" w:hAnsiTheme="minorHAnsi" w:cstheme="minorHAnsi"/>
                <w:bCs/>
                <w:sz w:val="22"/>
                <w:szCs w:val="22"/>
              </w:rPr>
              <w:tab/>
              <w:t>Paragraph 2.3(d)(ii) refers to scaling to a full year where profiled data is not available for a 12-month period. Whilst we are comfortable with this step, it is not/cannot currently be applied in the spreadsheet, and a clear and common approach to scaling should be set out in the legal text. This also applies to paragraph 2.4(d)(ii). Again, the spreadsheet would benefit from enhancement to adopt this requirement automatically where needed.</w:t>
            </w:r>
          </w:p>
          <w:p w14:paraId="64EB35CC"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4)</w:t>
            </w:r>
            <w:r w:rsidRPr="00332B53">
              <w:rPr>
                <w:rFonts w:asciiTheme="minorHAnsi" w:hAnsiTheme="minorHAnsi" w:cstheme="minorHAnsi"/>
                <w:bCs/>
                <w:sz w:val="22"/>
                <w:szCs w:val="22"/>
              </w:rPr>
              <w:tab/>
              <w:t>Like point 1 above, paragraph 2.4(a)(i) refers to the use of ‘scaling’ but for generation. However, the approach to scaling in the spreadsheet for generation is different to that for demand and it is not clear why? Again, if this is intended to be a common approach, it should be explained in the legal text.</w:t>
            </w:r>
          </w:p>
          <w:p w14:paraId="2E7BB711" w14:textId="77777777" w:rsidR="00A964B9" w:rsidRPr="00332B53" w:rsidRDefault="00A964B9" w:rsidP="00A964B9">
            <w:pPr>
              <w:pStyle w:val="BodyText"/>
              <w:rPr>
                <w:rFonts w:asciiTheme="minorHAnsi" w:hAnsiTheme="minorHAnsi" w:cstheme="minorHAnsi"/>
                <w:bCs/>
                <w:sz w:val="22"/>
                <w:szCs w:val="22"/>
              </w:rPr>
            </w:pPr>
          </w:p>
          <w:p w14:paraId="5B2AC67D"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In general, the above points risk an inconsistent calculation of the Curtailment Limit and/or a different interpretation of the requirements. However, we note that paragraph 2.6 refers to the publication of such a spreadsheet to calculate the Curtailment Limit on the DCUSA website, and where paragraph 2.7 states that, whilst a different calculation ‘tool’ may be used, it must derive the same the Curtailment Limit as the published spreadsheet.</w:t>
            </w:r>
          </w:p>
          <w:p w14:paraId="130D95E9" w14:textId="77777777" w:rsidR="00A964B9" w:rsidRPr="00332B53" w:rsidRDefault="00A964B9" w:rsidP="00A964B9">
            <w:pPr>
              <w:pStyle w:val="BodyText"/>
              <w:rPr>
                <w:rFonts w:asciiTheme="minorHAnsi" w:hAnsiTheme="minorHAnsi" w:cstheme="minorHAnsi"/>
                <w:bCs/>
                <w:sz w:val="22"/>
                <w:szCs w:val="22"/>
              </w:rPr>
            </w:pPr>
          </w:p>
          <w:p w14:paraId="5A1B2FF1" w14:textId="26F4CE57" w:rsidR="00C07E70" w:rsidRPr="00332B53" w:rsidRDefault="00A964B9"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To ensure a consistent calculation in line with the legal text – which endures future CPs – we propose that the spreadsheet is formally adopted by the DCUSA and included in a service agreement like the Use of System charging methodology models. We do not propose that this should delay implementation of this CP but should be concluded prior to 1 April 2023. Any differences to output of the illustrative spreadsheet would either (i) be agreed with the working group providing it is still in line with the legal text or (ii) aligned with the illustrative spreadsheet and dealt with via a subsequent CP.</w:t>
            </w:r>
          </w:p>
        </w:tc>
        <w:tc>
          <w:tcPr>
            <w:tcW w:w="3752" w:type="dxa"/>
            <w:shd w:val="clear" w:color="auto" w:fill="E2EFD9" w:themeFill="accent6" w:themeFillTint="33"/>
          </w:tcPr>
          <w:p w14:paraId="600B2703" w14:textId="77777777" w:rsidR="00C07E70" w:rsidRPr="003233BA" w:rsidRDefault="00C07E70" w:rsidP="00C07E70">
            <w:pPr>
              <w:pStyle w:val="BodyText"/>
              <w:rPr>
                <w:rFonts w:cstheme="minorHAnsi"/>
                <w:bCs/>
              </w:rPr>
            </w:pPr>
          </w:p>
        </w:tc>
      </w:tr>
      <w:tr w:rsidR="00C07E70" w:rsidRPr="007A0F4A" w14:paraId="1D644D32" w14:textId="77777777" w:rsidTr="0015638A">
        <w:tc>
          <w:tcPr>
            <w:tcW w:w="1730" w:type="dxa"/>
          </w:tcPr>
          <w:p w14:paraId="0665AE14" w14:textId="7B24A6B2"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Octopus</w:t>
            </w:r>
          </w:p>
        </w:tc>
        <w:tc>
          <w:tcPr>
            <w:tcW w:w="1530" w:type="dxa"/>
          </w:tcPr>
          <w:p w14:paraId="05D3EAEB"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2DE7EEF2" w14:textId="700DD02A" w:rsidR="00C07E70" w:rsidRPr="00332B53" w:rsidRDefault="00017234"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5C68EE2" w14:textId="77777777" w:rsidR="00C07E70" w:rsidRPr="003233BA" w:rsidRDefault="00C07E70" w:rsidP="00C07E70">
            <w:pPr>
              <w:pStyle w:val="BodyText"/>
              <w:rPr>
                <w:rFonts w:cstheme="minorHAnsi"/>
                <w:bCs/>
              </w:rPr>
            </w:pPr>
          </w:p>
        </w:tc>
      </w:tr>
      <w:tr w:rsidR="00C07E70" w:rsidRPr="007A0F4A" w14:paraId="5C8F325B" w14:textId="77777777" w:rsidTr="0015638A">
        <w:tc>
          <w:tcPr>
            <w:tcW w:w="1730" w:type="dxa"/>
          </w:tcPr>
          <w:p w14:paraId="6A30991D" w14:textId="481BF087"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656ED9CE"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68A69FBB" w14:textId="7FA44BEA" w:rsidR="00C07E70" w:rsidRPr="00332B53" w:rsidRDefault="001F67DB" w:rsidP="00C07E7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B4AB85A" w14:textId="77777777" w:rsidR="00C07E70" w:rsidRPr="003233BA" w:rsidRDefault="00C07E70" w:rsidP="00C07E70">
            <w:pPr>
              <w:pStyle w:val="BodyText"/>
              <w:rPr>
                <w:rFonts w:cstheme="minorHAnsi"/>
                <w:bCs/>
              </w:rPr>
            </w:pPr>
          </w:p>
        </w:tc>
      </w:tr>
      <w:tr w:rsidR="00C07E70" w:rsidRPr="007A0F4A" w14:paraId="2B493789" w14:textId="77777777" w:rsidTr="0015638A">
        <w:tc>
          <w:tcPr>
            <w:tcW w:w="1730" w:type="dxa"/>
          </w:tcPr>
          <w:p w14:paraId="30E76C51" w14:textId="2BB23624" w:rsidR="00C07E70" w:rsidRPr="007A0F4A" w:rsidRDefault="00C07E70" w:rsidP="00C07E70">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39332C87" w14:textId="012A7FC2" w:rsidR="00C07E70" w:rsidRPr="007A0F4A" w:rsidRDefault="00C07E70" w:rsidP="00C07E70">
            <w:pPr>
              <w:pStyle w:val="BodyTextNoSpacing"/>
              <w:rPr>
                <w:rFonts w:asciiTheme="minorHAnsi" w:hAnsiTheme="minorHAnsi" w:cstheme="minorHAnsi"/>
                <w:bCs/>
                <w:sz w:val="22"/>
                <w:szCs w:val="22"/>
              </w:rPr>
            </w:pPr>
          </w:p>
        </w:tc>
        <w:tc>
          <w:tcPr>
            <w:tcW w:w="7069" w:type="dxa"/>
          </w:tcPr>
          <w:p w14:paraId="7B400D5B" w14:textId="2F1260AA" w:rsidR="00C07E70" w:rsidRPr="00332B53" w:rsidRDefault="00C07E70" w:rsidP="00C07E7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34D65DA" w14:textId="21276A9A" w:rsidR="00C07E70" w:rsidRPr="003233BA" w:rsidRDefault="00C07E70" w:rsidP="00C07E70">
            <w:pPr>
              <w:pStyle w:val="BodyText"/>
              <w:rPr>
                <w:rFonts w:asciiTheme="minorHAnsi" w:hAnsiTheme="minorHAnsi" w:cstheme="minorHAnsi"/>
                <w:bCs/>
                <w:sz w:val="22"/>
                <w:szCs w:val="22"/>
                <w:lang w:val="en-GB"/>
              </w:rPr>
            </w:pPr>
          </w:p>
        </w:tc>
      </w:tr>
      <w:tr w:rsidR="00C07E70" w:rsidRPr="007A0F4A" w14:paraId="3CF89CB9" w14:textId="77777777" w:rsidTr="0015638A">
        <w:tc>
          <w:tcPr>
            <w:tcW w:w="1730" w:type="dxa"/>
          </w:tcPr>
          <w:p w14:paraId="52E3EF65" w14:textId="6ED3BFD8"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0D63D6BA"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4A3159AA" w14:textId="4E745C8D" w:rsidR="00C07E70" w:rsidRPr="00332B53" w:rsidRDefault="000C6C27" w:rsidP="00C07E7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2499C28" w14:textId="77777777" w:rsidR="00C07E70" w:rsidRPr="003233BA" w:rsidRDefault="00C07E70" w:rsidP="00C07E70">
            <w:pPr>
              <w:pStyle w:val="BodyText"/>
              <w:rPr>
                <w:rFonts w:cstheme="minorHAnsi"/>
                <w:bCs/>
              </w:rPr>
            </w:pPr>
          </w:p>
        </w:tc>
      </w:tr>
      <w:tr w:rsidR="00C07E70" w:rsidRPr="007A0F4A" w14:paraId="152987DA" w14:textId="77777777" w:rsidTr="0015638A">
        <w:tc>
          <w:tcPr>
            <w:tcW w:w="1730" w:type="dxa"/>
          </w:tcPr>
          <w:p w14:paraId="60239456" w14:textId="4C73A739"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FFE9264"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7442D66C" w14:textId="0BDBCF47" w:rsidR="00C07E70" w:rsidRPr="00332B53" w:rsidRDefault="00C950BA"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328F41B" w14:textId="77777777" w:rsidR="00C07E70" w:rsidRPr="003233BA" w:rsidRDefault="00C07E70" w:rsidP="00C07E70">
            <w:pPr>
              <w:pStyle w:val="BodyText"/>
              <w:rPr>
                <w:rFonts w:cstheme="minorHAnsi"/>
                <w:bCs/>
              </w:rPr>
            </w:pPr>
          </w:p>
        </w:tc>
      </w:tr>
      <w:tr w:rsidR="00C07E70" w:rsidRPr="007A0F4A" w14:paraId="29BB45C6" w14:textId="77777777" w:rsidTr="0015638A">
        <w:tc>
          <w:tcPr>
            <w:tcW w:w="1730" w:type="dxa"/>
          </w:tcPr>
          <w:p w14:paraId="5209358C" w14:textId="0BE302F6"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465817CC"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3C95C214" w14:textId="506DE588" w:rsidR="00C07E70" w:rsidRPr="00332B53" w:rsidRDefault="00745814"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above</w:t>
            </w:r>
          </w:p>
        </w:tc>
        <w:tc>
          <w:tcPr>
            <w:tcW w:w="3752" w:type="dxa"/>
            <w:shd w:val="clear" w:color="auto" w:fill="E2EFD9" w:themeFill="accent6" w:themeFillTint="33"/>
          </w:tcPr>
          <w:p w14:paraId="5843525B" w14:textId="77777777" w:rsidR="00C07E70" w:rsidRPr="003233BA" w:rsidRDefault="00C07E70" w:rsidP="00C07E70">
            <w:pPr>
              <w:pStyle w:val="BodyText"/>
              <w:rPr>
                <w:rFonts w:cstheme="minorHAnsi"/>
                <w:bCs/>
              </w:rPr>
            </w:pPr>
          </w:p>
        </w:tc>
      </w:tr>
      <w:tr w:rsidR="00C07E70" w:rsidRPr="007A0F4A" w14:paraId="35B4E273" w14:textId="77777777" w:rsidTr="0015638A">
        <w:tc>
          <w:tcPr>
            <w:tcW w:w="1730" w:type="dxa"/>
          </w:tcPr>
          <w:p w14:paraId="60FD4458" w14:textId="1EF55543"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F33C17A"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3AE7748C"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No, our work to test the proposed methodology for determining the Curtailment Limit shows that that the current proposed profiles will not result in appropriate limits being calculated for inclusion in Connection Agreements.</w:t>
            </w:r>
          </w:p>
          <w:p w14:paraId="5C6EEAE9"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run multiple curtailment assessments using the proposed approach and have compared the results to the approach already adopted by our planning teams and have seen significant difference. We understand that the two approaches are significantly different and are designed for different purposes (one to calculate a limit and the other to provide an estimate to customers) but we believe this comparison provides an indication of whether the proposed methodology will be fit for purpose. Based on our analysis, the proposed approach will lead to a significant over-estimation of curtailment hours and we have identified the profiles being used are a main driver for this over-estimation.</w:t>
            </w:r>
          </w:p>
          <w:p w14:paraId="2636D47F"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Solar PV Generation</w:t>
            </w:r>
          </w:p>
          <w:p w14:paraId="2082DC89"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The first profile that we believe will cause over estimation of curtailment is PV generation. The current approach, whether it is an inflight offer, accepted offer or the customer being assessed, includes PV as a continuous export at its full capacity. This simplification assumes that it generates at full export at night and is leading to a material over-estimation of curtailment. We believe a scaled profile should be used for PV customers which at least removes the impact of PV overnight. This should be applied to any PV, whether as an existing customer with an offer or acceptance or as the customer being assessed.</w:t>
            </w:r>
          </w:p>
          <w:p w14:paraId="575349C9"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Electrical Energy Storage</w:t>
            </w:r>
          </w:p>
          <w:p w14:paraId="22AE40AF"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The second profile that we believe could lead to over-estimation, but also to a lack of consistency between DNOs carrying out the same curtailment assessments, is storage. In the proposed approach, storage customers that are already connected are allowed to be separated from other generation and included with their own profiles. This allows DNOs to add in contingency and not rely on the historical performance of storage as it is generally accepted that the behaviour of storage is less predictable than other types of customers. While we support the flexibility being provided to DNOs to treat storage differently, we believe this freedom might conflict with Ofgem’s direction that customers need to receive an equal treatment. For example, one DNO may choose to include already connected storage customers as exporting at full capacity when assessing a new</w:t>
            </w:r>
            <w:r w:rsidRPr="00332B53">
              <w:rPr>
                <w:rFonts w:asciiTheme="minorHAnsi" w:hAnsiTheme="minorHAnsi" w:cstheme="minorHAnsi"/>
                <w:bCs/>
                <w:sz w:val="22"/>
                <w:szCs w:val="22"/>
                <w:lang w:val="en-GB"/>
              </w:rPr>
              <w:t xml:space="preserve"> exporting customer. This might lead to very high curtailment. Another DNO may use a profile which places storage at 50%, leading to lower curtailment. While there is not a clear industry example of how storage should behave, we believe the methodology should provide clarity to DNOs on how existing storage customers should be treated to provide a common approach. The common approach for assessing storage will also need to make an </w:t>
            </w:r>
            <w:r w:rsidRPr="00332B53">
              <w:rPr>
                <w:rFonts w:asciiTheme="minorHAnsi" w:hAnsiTheme="minorHAnsi" w:cstheme="minorHAnsi"/>
                <w:bCs/>
                <w:sz w:val="22"/>
                <w:szCs w:val="22"/>
                <w:lang w:val="en-GB"/>
              </w:rPr>
              <w:lastRenderedPageBreak/>
              <w:t>appropriate assumption for import/export levels as described below for assessing storage connections – a similar over-estimation could be generated if this is not accounted for.</w:t>
            </w:r>
          </w:p>
          <w:p w14:paraId="2F925989" w14:textId="11F42C01" w:rsidR="00C07E70"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Storage profiles are also a problem when a storage customer is being assessed. As with other generation, it is considered as exporting/importing at full capacity 24 hours a day. This is impossible for storage to do at the same time and is leading to the calculation of a very high amount of curtailment hours. We believe some consideration should be made for storage customers that mitigates against the fact that they </w:t>
            </w:r>
            <w:proofErr w:type="spellStart"/>
            <w:r w:rsidRPr="00332B53">
              <w:rPr>
                <w:rFonts w:asciiTheme="minorHAnsi" w:hAnsiTheme="minorHAnsi" w:cstheme="minorHAnsi"/>
                <w:bCs/>
                <w:sz w:val="22"/>
                <w:szCs w:val="22"/>
                <w:lang w:val="en-GB"/>
              </w:rPr>
              <w:t>can not</w:t>
            </w:r>
            <w:proofErr w:type="spellEnd"/>
            <w:r w:rsidRPr="00332B53">
              <w:rPr>
                <w:rFonts w:asciiTheme="minorHAnsi" w:hAnsiTheme="minorHAnsi" w:cstheme="minorHAnsi"/>
                <w:bCs/>
                <w:sz w:val="22"/>
                <w:szCs w:val="22"/>
                <w:lang w:val="en-GB"/>
              </w:rPr>
              <w:t xml:space="preserve"> operate in both directions at full capacity at the same time. We acknowledge that it will be impossible to fully reflect how storage will behave, however there may be relatively simple adjustments that could be made to the profiles. For example, a scaling factor could be applied to storage to calibrate the curtailment hours being generated or a simplified import/export profile adopted to reflect the characteristics of typical storage. While these options will add complexity to the process, our analysis shows that the current approach over-estimates curtailment enough for it to be important for the working group to consider some changes.</w:t>
            </w:r>
          </w:p>
        </w:tc>
        <w:tc>
          <w:tcPr>
            <w:tcW w:w="3752" w:type="dxa"/>
            <w:shd w:val="clear" w:color="auto" w:fill="E2EFD9" w:themeFill="accent6" w:themeFillTint="33"/>
          </w:tcPr>
          <w:p w14:paraId="1C81AC1F" w14:textId="77777777" w:rsidR="00C07E70" w:rsidRPr="003233BA" w:rsidRDefault="00C07E70" w:rsidP="00C07E70">
            <w:pPr>
              <w:pStyle w:val="BodyText"/>
              <w:rPr>
                <w:rFonts w:cstheme="minorHAnsi"/>
                <w:bCs/>
              </w:rPr>
            </w:pPr>
          </w:p>
        </w:tc>
      </w:tr>
      <w:tr w:rsidR="00C07E70" w:rsidRPr="007A0F4A" w14:paraId="17E8DA92" w14:textId="77777777" w:rsidTr="0015638A">
        <w:tc>
          <w:tcPr>
            <w:tcW w:w="1730" w:type="dxa"/>
          </w:tcPr>
          <w:p w14:paraId="398BFEBA" w14:textId="44D4A02A"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4AB7FD29"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0F77F4B3" w14:textId="31ED54BF" w:rsidR="00C07E70" w:rsidRPr="00332B53" w:rsidRDefault="00FC694B"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proposed profiles appear to be appropriate but may need to be refined over time i.e. to consider parallel networks. Alternatively, guidance could be included to account for the sensitivity factor/contribution of additional load to the constraint.</w:t>
            </w:r>
          </w:p>
        </w:tc>
        <w:tc>
          <w:tcPr>
            <w:tcW w:w="3752" w:type="dxa"/>
            <w:shd w:val="clear" w:color="auto" w:fill="E2EFD9" w:themeFill="accent6" w:themeFillTint="33"/>
          </w:tcPr>
          <w:p w14:paraId="07F33299" w14:textId="77777777" w:rsidR="00C07E70" w:rsidRPr="003233BA" w:rsidRDefault="00C07E70" w:rsidP="00C07E70">
            <w:pPr>
              <w:pStyle w:val="BodyText"/>
              <w:rPr>
                <w:rFonts w:cstheme="minorHAnsi"/>
                <w:bCs/>
              </w:rPr>
            </w:pPr>
          </w:p>
        </w:tc>
      </w:tr>
      <w:tr w:rsidR="00C07E70" w:rsidRPr="007A0F4A" w14:paraId="52B55143" w14:textId="77777777" w:rsidTr="00D36912">
        <w:tc>
          <w:tcPr>
            <w:tcW w:w="14081" w:type="dxa"/>
            <w:gridSpan w:val="4"/>
            <w:shd w:val="clear" w:color="auto" w:fill="E2EFD9" w:themeFill="accent6" w:themeFillTint="33"/>
          </w:tcPr>
          <w:p w14:paraId="137A37A4" w14:textId="1F4250DA" w:rsidR="00C07E70" w:rsidRPr="007A0F4A" w:rsidRDefault="00C07E70" w:rsidP="00C07E70">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bookmarkEnd w:id="3"/>
    </w:tbl>
    <w:p w14:paraId="033E9D8E" w14:textId="77064B4D" w:rsidR="004C1C50" w:rsidRDefault="004C1C5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764FC" w:rsidRPr="007A0F4A" w14:paraId="63B67883"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5341BD2"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5B1C17C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FC870D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79D3874" w14:textId="43473FF1" w:rsidR="00E764FC" w:rsidRPr="007A0F4A" w:rsidRDefault="00D47889">
            <w:pPr>
              <w:pStyle w:val="BodyTextNoSpacing"/>
              <w:numPr>
                <w:ilvl w:val="0"/>
                <w:numId w:val="3"/>
              </w:numPr>
              <w:rPr>
                <w:rFonts w:asciiTheme="minorHAnsi" w:hAnsiTheme="minorHAnsi" w:cstheme="minorHAnsi"/>
                <w:bCs/>
                <w:sz w:val="22"/>
                <w:szCs w:val="22"/>
              </w:rPr>
            </w:pPr>
            <w:r>
              <w:t>Do you agree with the approach for including inflight connections into the assessment of the Curtailment Limit? If not, please provide your reasons why.</w:t>
            </w:r>
          </w:p>
        </w:tc>
        <w:tc>
          <w:tcPr>
            <w:tcW w:w="3752" w:type="dxa"/>
            <w:shd w:val="clear" w:color="auto" w:fill="E2EFD9" w:themeFill="accent6" w:themeFillTint="33"/>
          </w:tcPr>
          <w:p w14:paraId="558B7FE6" w14:textId="77777777" w:rsidR="00E764FC" w:rsidRPr="007A0F4A" w:rsidRDefault="00E764F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41DB7FFE" w14:textId="77777777" w:rsidTr="00576563">
        <w:tc>
          <w:tcPr>
            <w:tcW w:w="1730" w:type="dxa"/>
          </w:tcPr>
          <w:p w14:paraId="15296660" w14:textId="1CCA19B4"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70491DFB"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0100D5C" w14:textId="199D4014"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as these connections are not yet accepted so can be subject to change. We do, however think that this is something which should be subject to review as this has the potential to significantly change the curtailment hours. For example, adjusting to assume a coincidence of 75% would change the example’s curtailment limit from 1969.5 to 3016.5 hours. Conversely, changing this down to 25% changes the limit to 1250 hours. These are quite significant impacts to customers’ expectations when connecting to the network.</w:t>
            </w:r>
          </w:p>
        </w:tc>
        <w:tc>
          <w:tcPr>
            <w:tcW w:w="3752" w:type="dxa"/>
            <w:shd w:val="clear" w:color="auto" w:fill="E2EFD9" w:themeFill="accent6" w:themeFillTint="33"/>
          </w:tcPr>
          <w:p w14:paraId="42DD60E8"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53F5D30D" w14:textId="77777777" w:rsidTr="00576563">
        <w:tc>
          <w:tcPr>
            <w:tcW w:w="1730" w:type="dxa"/>
          </w:tcPr>
          <w:p w14:paraId="56D0D84F" w14:textId="3C5ADDD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2507275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E7D09E0" w14:textId="1DFF8727" w:rsidR="00CE6D8F" w:rsidRPr="00332B53" w:rsidRDefault="00D07E32"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DF0A4FA"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438B9C1" w14:textId="77777777" w:rsidTr="00576563">
        <w:tc>
          <w:tcPr>
            <w:tcW w:w="1730" w:type="dxa"/>
          </w:tcPr>
          <w:p w14:paraId="09EE3666" w14:textId="04FE48B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12A9923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E5B1370" w14:textId="59540455"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supportive of the approach for assessing the impact of inflight connection offers. Whilst it introduces an element of risk to DNOs as there could be circumstances where all offers are accepted, in other cases all offers aren’t accepted or the full requested capacity isn’t used so on balance it seems a reasonable approach. Assessing historic acceptance rates is adding unnecessary complexity and is unlikely to be more accurate due to the fundamental changes to connection charging set out in the Access SCR Decision.</w:t>
            </w:r>
          </w:p>
        </w:tc>
        <w:tc>
          <w:tcPr>
            <w:tcW w:w="3752" w:type="dxa"/>
            <w:shd w:val="clear" w:color="auto" w:fill="E2EFD9" w:themeFill="accent6" w:themeFillTint="33"/>
          </w:tcPr>
          <w:p w14:paraId="57055FCA"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854852D" w14:textId="77777777" w:rsidTr="00576563">
        <w:tc>
          <w:tcPr>
            <w:tcW w:w="1730" w:type="dxa"/>
          </w:tcPr>
          <w:p w14:paraId="04B8CD62" w14:textId="2A378D3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40ABE0F3"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D0867ED" w14:textId="77777777" w:rsidR="00E25A06" w:rsidRPr="00332B53" w:rsidRDefault="00E25A06" w:rsidP="00E25A06">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approach chosen is rational.</w:t>
            </w:r>
          </w:p>
          <w:p w14:paraId="1687BA07" w14:textId="77777777" w:rsidR="00E25A06" w:rsidRPr="00332B53" w:rsidRDefault="00E25A06" w:rsidP="00E25A06">
            <w:pPr>
              <w:pStyle w:val="BodyText"/>
              <w:rPr>
                <w:rFonts w:asciiTheme="minorHAnsi" w:hAnsiTheme="minorHAnsi" w:cstheme="minorHAnsi"/>
                <w:bCs/>
                <w:sz w:val="22"/>
                <w:szCs w:val="22"/>
              </w:rPr>
            </w:pPr>
          </w:p>
          <w:p w14:paraId="1CE19489" w14:textId="281E3112" w:rsidR="00CE6D8F" w:rsidRPr="00332B53" w:rsidRDefault="00E25A06"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support the intent to consider the two largest connection offers at 100% requested capacity but note that no analysis has been provided for why the </w:t>
            </w:r>
            <w:r w:rsidRPr="00332B53">
              <w:rPr>
                <w:rFonts w:asciiTheme="minorHAnsi" w:hAnsiTheme="minorHAnsi" w:cstheme="minorHAnsi"/>
                <w:bCs/>
                <w:sz w:val="22"/>
                <w:szCs w:val="22"/>
              </w:rPr>
              <w:lastRenderedPageBreak/>
              <w:t>2 largest inflight offers would be considered at full capacity rather than other alternatives such as a phased approach (i.e. first 10% of offers considered at 100% capacity, next 30% at 70% capacity etc.)</w:t>
            </w:r>
          </w:p>
        </w:tc>
        <w:tc>
          <w:tcPr>
            <w:tcW w:w="3752" w:type="dxa"/>
            <w:shd w:val="clear" w:color="auto" w:fill="E2EFD9" w:themeFill="accent6" w:themeFillTint="33"/>
          </w:tcPr>
          <w:p w14:paraId="150BFF79"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DE32FDD" w14:textId="77777777" w:rsidTr="00576563">
        <w:tc>
          <w:tcPr>
            <w:tcW w:w="1730" w:type="dxa"/>
          </w:tcPr>
          <w:p w14:paraId="66181065" w14:textId="303215F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4439E05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AF2BF20"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approach built on the rationale provided by the workgroup is sensible.</w:t>
            </w:r>
          </w:p>
          <w:p w14:paraId="5D9B1221" w14:textId="7465D811"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We support the intent to consider the two largest connection offers at 100%</w:t>
            </w:r>
          </w:p>
          <w:p w14:paraId="21135E39"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requested capacity but note that no analysis has been provided for why the two</w:t>
            </w:r>
          </w:p>
          <w:p w14:paraId="7F126933"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largest inflight offers would be considered at full capacity rather than other</w:t>
            </w:r>
          </w:p>
          <w:p w14:paraId="005AC816"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alternatives such as a phased approach (i.e. first 10% of offers considered at 100%</w:t>
            </w:r>
          </w:p>
          <w:p w14:paraId="7B5F2CEF" w14:textId="35BA9F87" w:rsidR="00CE6D8F"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capacity, next 30% at 70% capacity etc.)</w:t>
            </w:r>
          </w:p>
        </w:tc>
        <w:tc>
          <w:tcPr>
            <w:tcW w:w="3752" w:type="dxa"/>
            <w:shd w:val="clear" w:color="auto" w:fill="E2EFD9" w:themeFill="accent6" w:themeFillTint="33"/>
          </w:tcPr>
          <w:p w14:paraId="0D4BBECB"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E267ACE" w14:textId="77777777" w:rsidTr="00576563">
        <w:tc>
          <w:tcPr>
            <w:tcW w:w="1730" w:type="dxa"/>
          </w:tcPr>
          <w:p w14:paraId="2EC524FA" w14:textId="0C8125B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C28471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03B0C27" w14:textId="3CF7D77D" w:rsidR="00CE6D8F" w:rsidRPr="00332B53" w:rsidRDefault="00A964B9"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comfortable with the proposed approach. We suggest this approach is reviewed periodically to ensure that it remains fit for purpose.</w:t>
            </w:r>
          </w:p>
        </w:tc>
        <w:tc>
          <w:tcPr>
            <w:tcW w:w="3752" w:type="dxa"/>
            <w:shd w:val="clear" w:color="auto" w:fill="E2EFD9" w:themeFill="accent6" w:themeFillTint="33"/>
          </w:tcPr>
          <w:p w14:paraId="444DF7C1"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04E809E" w14:textId="77777777" w:rsidTr="00576563">
        <w:tc>
          <w:tcPr>
            <w:tcW w:w="1730" w:type="dxa"/>
          </w:tcPr>
          <w:p w14:paraId="0BC5DF52" w14:textId="51905217"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1150D7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FB1EB9D" w14:textId="1F3FD993" w:rsidR="00CE6D8F" w:rsidRPr="00332B53" w:rsidRDefault="0001723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47A8C305"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A6B17D7" w14:textId="77777777" w:rsidTr="00576563">
        <w:tc>
          <w:tcPr>
            <w:tcW w:w="1730" w:type="dxa"/>
          </w:tcPr>
          <w:p w14:paraId="27FB4B9C" w14:textId="28AA252F"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E90698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52E23CF" w14:textId="1BE9F513" w:rsidR="00CE6D8F" w:rsidRPr="00332B53" w:rsidRDefault="001F67D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620911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A5E425C" w14:textId="77777777" w:rsidTr="00576563">
        <w:tc>
          <w:tcPr>
            <w:tcW w:w="1730" w:type="dxa"/>
          </w:tcPr>
          <w:p w14:paraId="6A3A3140" w14:textId="06139E45"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5580412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450A4BA" w14:textId="48C83DA3"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this approach is reasonable, given this is a new process. It would be reasonable to expect DNOs to check the validity of the 50% confidence factor over time, then a DCP can be raised to better reflect the reality of connection offers. This does not need to be codified.</w:t>
            </w:r>
          </w:p>
        </w:tc>
        <w:tc>
          <w:tcPr>
            <w:tcW w:w="3752" w:type="dxa"/>
            <w:shd w:val="clear" w:color="auto" w:fill="E2EFD9" w:themeFill="accent6" w:themeFillTint="33"/>
          </w:tcPr>
          <w:p w14:paraId="14CC3D74"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2E58C6AA" w14:textId="77777777" w:rsidTr="00576563">
        <w:tc>
          <w:tcPr>
            <w:tcW w:w="1730" w:type="dxa"/>
          </w:tcPr>
          <w:p w14:paraId="6825D79C" w14:textId="39AB632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30" w:type="dxa"/>
          </w:tcPr>
          <w:p w14:paraId="0ECD69F8"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96710F4" w14:textId="05156ECA" w:rsidR="00CE6D8F" w:rsidRPr="00332B53" w:rsidRDefault="000C6C27"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20253E2"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53EF9FE" w14:textId="77777777" w:rsidTr="00576563">
        <w:tc>
          <w:tcPr>
            <w:tcW w:w="1730" w:type="dxa"/>
          </w:tcPr>
          <w:p w14:paraId="3A61259A" w14:textId="7F06CD5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BEC694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78F8495" w14:textId="4B930A42" w:rsidR="00CE6D8F"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57DE4662"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6D9764F" w14:textId="77777777" w:rsidTr="00576563">
        <w:tc>
          <w:tcPr>
            <w:tcW w:w="1730" w:type="dxa"/>
          </w:tcPr>
          <w:p w14:paraId="5EDA431C" w14:textId="42FF7E9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764D763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4BC1AA8" w14:textId="3EDFB2DC" w:rsidR="00CE6D8F" w:rsidRPr="00332B53" w:rsidRDefault="00745814"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F576564"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1DAD0E9" w14:textId="77777777" w:rsidTr="00576563">
        <w:tc>
          <w:tcPr>
            <w:tcW w:w="1730" w:type="dxa"/>
          </w:tcPr>
          <w:p w14:paraId="73C0E76F" w14:textId="5EA7F22B"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4A7B8788"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00B5024" w14:textId="6851ADF0"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do agree that inflight connections should be included and support a confidence factor being included for offers. However, as mentioned in the response to question 4, we also believe PV customers should be included with the ability to remove their impact overnight and therefore the current inclusion of all types of generation/import at full capacity all of the time should be changed to prevent the over estimation of curtailment hours.</w:t>
            </w:r>
          </w:p>
        </w:tc>
        <w:tc>
          <w:tcPr>
            <w:tcW w:w="3752" w:type="dxa"/>
            <w:shd w:val="clear" w:color="auto" w:fill="E2EFD9" w:themeFill="accent6" w:themeFillTint="33"/>
          </w:tcPr>
          <w:p w14:paraId="4D0E1F7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74D6E6F" w14:textId="77777777" w:rsidTr="00576563">
        <w:tc>
          <w:tcPr>
            <w:tcW w:w="1730" w:type="dxa"/>
          </w:tcPr>
          <w:p w14:paraId="7678A894" w14:textId="6C0245D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0DE8285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E601461" w14:textId="7B5FDD82"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appears to be a sensible approach.</w:t>
            </w:r>
          </w:p>
        </w:tc>
        <w:tc>
          <w:tcPr>
            <w:tcW w:w="3752" w:type="dxa"/>
            <w:shd w:val="clear" w:color="auto" w:fill="E2EFD9" w:themeFill="accent6" w:themeFillTint="33"/>
          </w:tcPr>
          <w:p w14:paraId="66FA9C5C"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55B10B76" w14:textId="77777777" w:rsidTr="00576563">
        <w:tc>
          <w:tcPr>
            <w:tcW w:w="14081" w:type="dxa"/>
            <w:gridSpan w:val="4"/>
            <w:shd w:val="clear" w:color="auto" w:fill="E2EFD9" w:themeFill="accent6" w:themeFillTint="33"/>
          </w:tcPr>
          <w:p w14:paraId="0D24BE9B"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4783C547" w14:textId="639FDCFD" w:rsidR="00E764FC" w:rsidRDefault="00E764F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D47889" w:rsidRPr="007A0F4A" w14:paraId="2518BA58"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D0281CB"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43A4521"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7ACA8C"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B9223D" w14:textId="5215481A" w:rsidR="00D47889" w:rsidRPr="007A0F4A" w:rsidRDefault="00837728">
            <w:pPr>
              <w:pStyle w:val="BodyTextNoSpacing"/>
              <w:numPr>
                <w:ilvl w:val="0"/>
                <w:numId w:val="3"/>
              </w:numPr>
              <w:rPr>
                <w:rFonts w:asciiTheme="minorHAnsi" w:hAnsiTheme="minorHAnsi" w:cstheme="minorHAnsi"/>
                <w:bCs/>
                <w:sz w:val="22"/>
                <w:szCs w:val="22"/>
              </w:rPr>
            </w:pPr>
            <w:r>
              <w:t>Do you agree that a 95% Curtailment Threshold is a suitable figure? If not, please provide alternate figures and explain why they are more appropriate.</w:t>
            </w:r>
          </w:p>
        </w:tc>
        <w:tc>
          <w:tcPr>
            <w:tcW w:w="3752" w:type="dxa"/>
            <w:shd w:val="clear" w:color="auto" w:fill="E2EFD9" w:themeFill="accent6" w:themeFillTint="33"/>
          </w:tcPr>
          <w:p w14:paraId="20638602" w14:textId="77777777" w:rsidR="00D47889" w:rsidRPr="007A0F4A" w:rsidRDefault="00D4788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7CD23B5" w14:textId="77777777" w:rsidTr="00576563">
        <w:tc>
          <w:tcPr>
            <w:tcW w:w="1730" w:type="dxa"/>
          </w:tcPr>
          <w:p w14:paraId="2FDD4D23" w14:textId="33DF9BC4"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57E4FA06"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658AEDF" w14:textId="3CAC53BC"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95% is a fair figure as this allows for a small margin to cater for future load growth. Again, we believe that this is something which should be reviewed in the future.</w:t>
            </w:r>
          </w:p>
        </w:tc>
        <w:tc>
          <w:tcPr>
            <w:tcW w:w="3752" w:type="dxa"/>
            <w:shd w:val="clear" w:color="auto" w:fill="E2EFD9" w:themeFill="accent6" w:themeFillTint="33"/>
          </w:tcPr>
          <w:p w14:paraId="133949B3"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67E5CC1A" w14:textId="77777777" w:rsidTr="00576563">
        <w:tc>
          <w:tcPr>
            <w:tcW w:w="1730" w:type="dxa"/>
          </w:tcPr>
          <w:p w14:paraId="046D2B28" w14:textId="5B85DBF8"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EDF</w:t>
            </w:r>
          </w:p>
        </w:tc>
        <w:tc>
          <w:tcPr>
            <w:tcW w:w="1530" w:type="dxa"/>
          </w:tcPr>
          <w:p w14:paraId="6B1D4983"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D9A1854" w14:textId="555A1C61" w:rsidR="00CE6D8F" w:rsidRPr="00332B53" w:rsidRDefault="00D07E32"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BA4448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56E6269" w14:textId="77777777" w:rsidTr="00576563">
        <w:tc>
          <w:tcPr>
            <w:tcW w:w="1730" w:type="dxa"/>
          </w:tcPr>
          <w:p w14:paraId="30159741" w14:textId="3954988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4758765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7C11717" w14:textId="579B4468"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using a 95% Curtailment Threshold. There remain uncertainties around the simplified approach for setting curtailment limits and this factor provides a means to account for these in setting the Curtailment Limit.</w:t>
            </w:r>
          </w:p>
        </w:tc>
        <w:tc>
          <w:tcPr>
            <w:tcW w:w="3752" w:type="dxa"/>
            <w:shd w:val="clear" w:color="auto" w:fill="E2EFD9" w:themeFill="accent6" w:themeFillTint="33"/>
          </w:tcPr>
          <w:p w14:paraId="359F9044"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0938C2B" w14:textId="77777777" w:rsidTr="00576563">
        <w:tc>
          <w:tcPr>
            <w:tcW w:w="1730" w:type="dxa"/>
          </w:tcPr>
          <w:p w14:paraId="761DD4A6" w14:textId="7D6D59C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173EE2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784F038" w14:textId="1D511732" w:rsidR="00CE6D8F" w:rsidRPr="00332B53" w:rsidRDefault="00E25A06" w:rsidP="00E25A06">
            <w:pPr>
              <w:rPr>
                <w:rFonts w:asciiTheme="minorHAnsi" w:hAnsiTheme="minorHAnsi" w:cstheme="minorHAnsi"/>
                <w:bCs/>
                <w:sz w:val="22"/>
                <w:szCs w:val="22"/>
              </w:rPr>
            </w:pPr>
            <w:r w:rsidRPr="00332B53">
              <w:rPr>
                <w:rFonts w:asciiTheme="minorHAnsi" w:hAnsiTheme="minorHAnsi" w:cstheme="minorHAnsi"/>
                <w:bCs/>
                <w:sz w:val="22"/>
                <w:szCs w:val="22"/>
              </w:rPr>
              <w:t>The curtailment threshold of 95% appears to be appropriate. We recognise that this allows for consideration of natural load growth over time.</w:t>
            </w:r>
          </w:p>
        </w:tc>
        <w:tc>
          <w:tcPr>
            <w:tcW w:w="3752" w:type="dxa"/>
            <w:shd w:val="clear" w:color="auto" w:fill="E2EFD9" w:themeFill="accent6" w:themeFillTint="33"/>
          </w:tcPr>
          <w:p w14:paraId="12004CEB"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F22F078" w14:textId="77777777" w:rsidTr="00576563">
        <w:tc>
          <w:tcPr>
            <w:tcW w:w="1730" w:type="dxa"/>
          </w:tcPr>
          <w:p w14:paraId="366F4CDE" w14:textId="671ADB9F"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66E4A00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43B2896"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The curtailment threshold of 95% appears to be appropriate. It is understood that</w:t>
            </w:r>
          </w:p>
          <w:p w14:paraId="6BDC6CBB" w14:textId="4C90E8D8" w:rsidR="00CE6D8F"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this gives flexibility to natural load growth but is not set at too low a threshold.</w:t>
            </w:r>
          </w:p>
        </w:tc>
        <w:tc>
          <w:tcPr>
            <w:tcW w:w="3752" w:type="dxa"/>
            <w:shd w:val="clear" w:color="auto" w:fill="E2EFD9" w:themeFill="accent6" w:themeFillTint="33"/>
          </w:tcPr>
          <w:p w14:paraId="02443E9E"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7B57237" w14:textId="77777777" w:rsidTr="00576563">
        <w:tc>
          <w:tcPr>
            <w:tcW w:w="1730" w:type="dxa"/>
          </w:tcPr>
          <w:p w14:paraId="6EE38F52" w14:textId="0C684DF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AFE415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D3236AE"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We recognise that there has been limited testing to date and there is limited evidence supporting the use of 95%. Given uncertainty in the accuracy of the methodology and potential unintended consequences of applying a necessarily simple and consistent approach, we believe that consideration should be given to a lower figure, but certainly not higher.</w:t>
            </w:r>
          </w:p>
          <w:p w14:paraId="771D6684" w14:textId="7A6874F1" w:rsidR="00CE6D8F"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The expected increase in low carbon technologies could cause the base load to increase by more than 5%, therefore the Working Group could consider setting the Curtailment Threshold at say 90% in the first instance and then review that threshold periodically to ensure it remains fit for purpose. However, we are comfortable with the use of 95% at this stage.</w:t>
            </w:r>
          </w:p>
        </w:tc>
        <w:tc>
          <w:tcPr>
            <w:tcW w:w="3752" w:type="dxa"/>
            <w:shd w:val="clear" w:color="auto" w:fill="E2EFD9" w:themeFill="accent6" w:themeFillTint="33"/>
          </w:tcPr>
          <w:p w14:paraId="3DF2D3D5"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FDDEE1D" w14:textId="77777777" w:rsidTr="00576563">
        <w:tc>
          <w:tcPr>
            <w:tcW w:w="1730" w:type="dxa"/>
          </w:tcPr>
          <w:p w14:paraId="4B34A5E1" w14:textId="1884939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3DCC72EB"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7617477" w14:textId="19E8FAB2" w:rsidR="00CE6D8F" w:rsidRPr="00332B53" w:rsidRDefault="0001723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20BDE3EE"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22AF067" w14:textId="77777777" w:rsidTr="00576563">
        <w:tc>
          <w:tcPr>
            <w:tcW w:w="1730" w:type="dxa"/>
          </w:tcPr>
          <w:p w14:paraId="35BB7185" w14:textId="311FCA6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72FEC1A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258D2D4" w14:textId="13F33AA0" w:rsidR="00CE6D8F" w:rsidRPr="00332B53" w:rsidRDefault="001F67D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49CE5DC"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13781CE" w14:textId="77777777" w:rsidTr="00576563">
        <w:tc>
          <w:tcPr>
            <w:tcW w:w="1730" w:type="dxa"/>
          </w:tcPr>
          <w:p w14:paraId="40B17D9D" w14:textId="03D2EC09"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742CB9F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2E80376" w14:textId="28AA6C77"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95% gives a clear simple figure that can be applied uniformly across DNOs. As with other areas of this process, should it prove to be inappropriate “in the real world”, modifications can be raised to adjust it.</w:t>
            </w:r>
          </w:p>
        </w:tc>
        <w:tc>
          <w:tcPr>
            <w:tcW w:w="3752" w:type="dxa"/>
            <w:shd w:val="clear" w:color="auto" w:fill="E2EFD9" w:themeFill="accent6" w:themeFillTint="33"/>
          </w:tcPr>
          <w:p w14:paraId="49D9BD14"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0D005332" w14:textId="77777777" w:rsidTr="00576563">
        <w:tc>
          <w:tcPr>
            <w:tcW w:w="1730" w:type="dxa"/>
          </w:tcPr>
          <w:p w14:paraId="3E8D1C79" w14:textId="4DB5C9D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468A2805"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D2E2E65" w14:textId="054B5880" w:rsidR="00CE6D8F" w:rsidRPr="00332B53" w:rsidRDefault="000C6C27"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FB6A5B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C3C7019" w14:textId="77777777" w:rsidTr="00576563">
        <w:tc>
          <w:tcPr>
            <w:tcW w:w="1730" w:type="dxa"/>
          </w:tcPr>
          <w:p w14:paraId="1E28B04A" w14:textId="520E371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19FFD82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ECBD629" w14:textId="77777777" w:rsidR="00CE6D8F" w:rsidRPr="00332B53" w:rsidRDefault="00C950BA" w:rsidP="00C950BA">
            <w:pPr>
              <w:pStyle w:val="BodyText"/>
              <w:rPr>
                <w:rFonts w:asciiTheme="minorHAnsi" w:hAnsiTheme="minorHAnsi" w:cstheme="minorHAnsi"/>
                <w:bCs/>
                <w:sz w:val="22"/>
                <w:szCs w:val="22"/>
              </w:rPr>
            </w:pPr>
            <w:r w:rsidRPr="00332B53">
              <w:rPr>
                <w:rFonts w:asciiTheme="minorHAnsi" w:hAnsiTheme="minorHAnsi" w:cstheme="minorHAnsi"/>
                <w:bCs/>
                <w:sz w:val="22"/>
                <w:szCs w:val="22"/>
              </w:rPr>
              <w:t>Further explanation is needed as to why a Curtailment Threshold (other than 100%) has been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included in the curtailment calculations, and why this has been set at 95%. This has the effect of</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increasing the Curtailment Limit, thereby reducing the amount of curtailment hours which a</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Customer can be paid for. In practice, this could mean that the limit is not low enough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disincentivise curtailment.</w:t>
            </w:r>
          </w:p>
          <w:p w14:paraId="271D9903" w14:textId="77777777" w:rsidR="00C950BA" w:rsidRPr="00332B53" w:rsidRDefault="00C950BA" w:rsidP="00C950BA">
            <w:pPr>
              <w:pStyle w:val="BodyText"/>
              <w:rPr>
                <w:rFonts w:asciiTheme="minorHAnsi" w:hAnsiTheme="minorHAnsi" w:cstheme="minorHAnsi"/>
                <w:bCs/>
                <w:sz w:val="22"/>
                <w:szCs w:val="22"/>
              </w:rPr>
            </w:pPr>
            <w:r w:rsidRPr="00332B53">
              <w:rPr>
                <w:rFonts w:asciiTheme="minorHAnsi" w:hAnsiTheme="minorHAnsi" w:cstheme="minorHAnsi"/>
                <w:bCs/>
                <w:sz w:val="22"/>
                <w:szCs w:val="22"/>
              </w:rPr>
              <w:t>Has there been consideration as to whether this Curtailment Threshold should be locational, so set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by each DNO? If yes, why was this deemed not appropriate? Furthermore, if yes, then what steps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are being taken to codify an obligation on the DNO to publish, going forward, information on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current Curtailment Threshold in accordance with the work (see Question 33 below) of the </w:t>
            </w:r>
            <w:r w:rsidRPr="00332B53">
              <w:rPr>
                <w:rFonts w:asciiTheme="minorHAnsi" w:hAnsiTheme="minorHAnsi" w:cstheme="minorHAnsi"/>
                <w:bCs/>
                <w:sz w:val="22"/>
                <w:szCs w:val="22"/>
              </w:rPr>
              <w:fldChar w:fldCharType="begin"/>
            </w:r>
            <w:r w:rsidRPr="00332B53">
              <w:rPr>
                <w:rFonts w:asciiTheme="minorHAnsi" w:hAnsiTheme="minorHAnsi" w:cstheme="minorHAnsi"/>
                <w:bCs/>
                <w:sz w:val="22"/>
                <w:szCs w:val="22"/>
              </w:rPr>
              <w:instrText xml:space="preserve"> HYPERLINK "https://www.gov.uk/government/groups/energy-data-taskforce" </w:instrText>
            </w:r>
            <w:r w:rsidRPr="00332B53">
              <w:rPr>
                <w:rFonts w:asciiTheme="minorHAnsi" w:hAnsiTheme="minorHAnsi" w:cstheme="minorHAnsi"/>
                <w:bCs/>
                <w:sz w:val="22"/>
                <w:szCs w:val="22"/>
              </w:rPr>
              <w:fldChar w:fldCharType="separate"/>
            </w:r>
            <w:r w:rsidRPr="00332B53">
              <w:rPr>
                <w:rStyle w:val="Hyperlink"/>
                <w:rFonts w:asciiTheme="minorHAnsi" w:hAnsiTheme="minorHAnsi" w:cstheme="minorHAnsi"/>
                <w:bCs/>
                <w:sz w:val="22"/>
                <w:szCs w:val="22"/>
              </w:rPr>
              <w:t>Energy</w:t>
            </w:r>
            <w:r w:rsidRPr="00332B53">
              <w:rPr>
                <w:rStyle w:val="Hyperlink"/>
                <w:rFonts w:asciiTheme="minorHAnsi" w:hAnsiTheme="minorHAnsi" w:cstheme="minorHAnsi"/>
                <w:bCs/>
                <w:sz w:val="22"/>
                <w:szCs w:val="22"/>
                <w:lang w:val="en-GB"/>
              </w:rPr>
              <w:t xml:space="preserve"> </w:t>
            </w:r>
            <w:r w:rsidRPr="00332B53">
              <w:rPr>
                <w:rStyle w:val="Hyperlink"/>
                <w:rFonts w:asciiTheme="minorHAnsi" w:hAnsiTheme="minorHAnsi" w:cstheme="minorHAnsi"/>
                <w:bCs/>
                <w:sz w:val="22"/>
                <w:szCs w:val="22"/>
              </w:rPr>
              <w:t>Data Taskforce</w:t>
            </w:r>
            <w:r w:rsidRPr="00332B53">
              <w:rPr>
                <w:rFonts w:asciiTheme="minorHAnsi" w:hAnsiTheme="minorHAnsi" w:cstheme="minorHAnsi"/>
                <w:bCs/>
                <w:sz w:val="22"/>
                <w:szCs w:val="22"/>
              </w:rPr>
              <w:fldChar w:fldCharType="end"/>
            </w:r>
            <w:r w:rsidRPr="00332B53">
              <w:rPr>
                <w:rFonts w:asciiTheme="minorHAnsi" w:hAnsiTheme="minorHAnsi" w:cstheme="minorHAnsi"/>
                <w:bCs/>
                <w:sz w:val="22"/>
                <w:szCs w:val="22"/>
              </w:rPr>
              <w:t>?</w:t>
            </w:r>
          </w:p>
          <w:p w14:paraId="071539A0" w14:textId="383216C0" w:rsidR="00C950BA" w:rsidRPr="00332B53" w:rsidRDefault="00C950BA" w:rsidP="00C950BA">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We consider that the various proposed percentage adjustments proposed (wrt the curtailment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threshold, the uplift of the exceeded curtailment price and flexibility market price outliers) are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somewhat arbitrary but we recognise that there appears to be a lack of an evidence base in each</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case. Unless data can be identified to underpin those adjustments, we propose that a regular</w:t>
            </w:r>
            <w:r w:rsidRPr="00332B53">
              <w:rPr>
                <w:rFonts w:asciiTheme="minorHAnsi" w:hAnsiTheme="minorHAnsi" w:cstheme="minorHAnsi"/>
                <w:bCs/>
                <w:sz w:val="22"/>
                <w:szCs w:val="22"/>
                <w:lang w:val="en-GB"/>
              </w:rPr>
              <w:t xml:space="preserve"> review is scheduled and codified in the DCUSA, so that over time, the arbitrary adjustments can become more evidence based.</w:t>
            </w:r>
          </w:p>
        </w:tc>
        <w:tc>
          <w:tcPr>
            <w:tcW w:w="3752" w:type="dxa"/>
            <w:shd w:val="clear" w:color="auto" w:fill="E2EFD9" w:themeFill="accent6" w:themeFillTint="33"/>
          </w:tcPr>
          <w:p w14:paraId="54506B9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A1DFFEF" w14:textId="77777777" w:rsidTr="00576563">
        <w:tc>
          <w:tcPr>
            <w:tcW w:w="1730" w:type="dxa"/>
          </w:tcPr>
          <w:p w14:paraId="2F849D31" w14:textId="06656234"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0D8F289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814B66B" w14:textId="2A2AFC75"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DNOs must operate plant within safe levels and should not design their networks to exceed this.  A 5% margin is a reasonable typical level, though noting that specific circumstances may in reality require a much lower level - for example communication system latency or limitations in site measurement or state estimation.  As above, we believe this assessment value should be kept under review.</w:t>
            </w:r>
          </w:p>
        </w:tc>
        <w:tc>
          <w:tcPr>
            <w:tcW w:w="3752" w:type="dxa"/>
            <w:shd w:val="clear" w:color="auto" w:fill="E2EFD9" w:themeFill="accent6" w:themeFillTint="33"/>
          </w:tcPr>
          <w:p w14:paraId="5DA6FBF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2B332AF" w14:textId="77777777" w:rsidTr="00576563">
        <w:tc>
          <w:tcPr>
            <w:tcW w:w="1730" w:type="dxa"/>
          </w:tcPr>
          <w:p w14:paraId="01D1B643" w14:textId="7A75125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549CE6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B8029BF" w14:textId="2E917006"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In principle we believe 95% is a reasonable value. In operational timescales our DERMs system my operate slightly before this value for some generation types, and at a slightly higher value in others. Therefore 95% is a suitable middle value. In the studies we have carried out we have found that changing this value has less impact on the outcome of the curtailment hours than would be expected. This is due to the assumptions in the input data that are driving quite high curtailment values already. However, we believe that with the changes proposed in question 4, the curtailment hours will be brought to more realistic levels and a 95% threshold is a fair value.</w:t>
            </w:r>
          </w:p>
        </w:tc>
        <w:tc>
          <w:tcPr>
            <w:tcW w:w="3752" w:type="dxa"/>
            <w:shd w:val="clear" w:color="auto" w:fill="E2EFD9" w:themeFill="accent6" w:themeFillTint="33"/>
          </w:tcPr>
          <w:p w14:paraId="5ECE7D8B"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61199F6" w14:textId="77777777" w:rsidTr="00576563">
        <w:tc>
          <w:tcPr>
            <w:tcW w:w="1730" w:type="dxa"/>
          </w:tcPr>
          <w:p w14:paraId="1540D6AF" w14:textId="784EAA2A"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378B205"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8524E5E" w14:textId="21CB587D"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95% appears to be a sensible figure.</w:t>
            </w:r>
          </w:p>
        </w:tc>
        <w:tc>
          <w:tcPr>
            <w:tcW w:w="3752" w:type="dxa"/>
            <w:shd w:val="clear" w:color="auto" w:fill="E2EFD9" w:themeFill="accent6" w:themeFillTint="33"/>
          </w:tcPr>
          <w:p w14:paraId="0895635D"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6582FB82" w14:textId="77777777" w:rsidTr="00576563">
        <w:tc>
          <w:tcPr>
            <w:tcW w:w="14081" w:type="dxa"/>
            <w:gridSpan w:val="4"/>
            <w:shd w:val="clear" w:color="auto" w:fill="E2EFD9" w:themeFill="accent6" w:themeFillTint="33"/>
          </w:tcPr>
          <w:p w14:paraId="097B9800"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06EDD49F" w14:textId="71DEFDE9" w:rsidR="00D47889" w:rsidRDefault="00D4788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37728" w:rsidRPr="007A0F4A" w14:paraId="2961D446"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49F189C"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467FF8BB"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3675F287"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65E601A7" w14:textId="357CE591" w:rsidR="00837728" w:rsidRPr="007A0F4A" w:rsidRDefault="008562B1">
            <w:pPr>
              <w:pStyle w:val="BodyTextNoSpacing"/>
              <w:numPr>
                <w:ilvl w:val="0"/>
                <w:numId w:val="3"/>
              </w:numPr>
              <w:rPr>
                <w:rFonts w:asciiTheme="minorHAnsi" w:hAnsiTheme="minorHAnsi" w:cstheme="minorHAnsi"/>
                <w:bCs/>
                <w:sz w:val="22"/>
                <w:szCs w:val="22"/>
              </w:rPr>
            </w:pPr>
            <w:r w:rsidRPr="00BC11E5">
              <w:t>Are there any other factors or steps you believe are required to calculate the Curtailment Limit</w:t>
            </w:r>
            <w:r>
              <w:t>, and why</w:t>
            </w:r>
            <w:r w:rsidRPr="00BC11E5">
              <w:t xml:space="preserve">?  </w:t>
            </w:r>
          </w:p>
        </w:tc>
        <w:tc>
          <w:tcPr>
            <w:tcW w:w="3752" w:type="dxa"/>
            <w:shd w:val="clear" w:color="auto" w:fill="E2EFD9" w:themeFill="accent6" w:themeFillTint="33"/>
          </w:tcPr>
          <w:p w14:paraId="43DA50FD" w14:textId="77777777" w:rsidR="00837728" w:rsidRPr="007A0F4A" w:rsidRDefault="00837728"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4309C2BB" w14:textId="77777777" w:rsidTr="00576563">
        <w:tc>
          <w:tcPr>
            <w:tcW w:w="1730" w:type="dxa"/>
          </w:tcPr>
          <w:p w14:paraId="296569BC" w14:textId="6880597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2961C27"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3C2C940" w14:textId="613E7619"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2AF8839"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581E28B9" w14:textId="77777777" w:rsidTr="00576563">
        <w:tc>
          <w:tcPr>
            <w:tcW w:w="1730" w:type="dxa"/>
          </w:tcPr>
          <w:p w14:paraId="0CB2CB68" w14:textId="5CB03378"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EDF</w:t>
            </w:r>
          </w:p>
        </w:tc>
        <w:tc>
          <w:tcPr>
            <w:tcW w:w="1530" w:type="dxa"/>
          </w:tcPr>
          <w:p w14:paraId="423203C3"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3C72569" w14:textId="0BBEDF8C" w:rsidR="00CE6D8F" w:rsidRPr="00332B53" w:rsidRDefault="00D07E32"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59F2F141"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71A561A" w14:textId="77777777" w:rsidTr="00576563">
        <w:tc>
          <w:tcPr>
            <w:tcW w:w="1730" w:type="dxa"/>
          </w:tcPr>
          <w:p w14:paraId="6F9E6B57" w14:textId="6EB3692B"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B88ED7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F0A56EE" w14:textId="439C3BEE"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there are any other factors that need to be considered.</w:t>
            </w:r>
          </w:p>
        </w:tc>
        <w:tc>
          <w:tcPr>
            <w:tcW w:w="3752" w:type="dxa"/>
            <w:shd w:val="clear" w:color="auto" w:fill="E2EFD9" w:themeFill="accent6" w:themeFillTint="33"/>
          </w:tcPr>
          <w:p w14:paraId="0AB5AF7F"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B118BC4" w14:textId="77777777" w:rsidTr="00576563">
        <w:tc>
          <w:tcPr>
            <w:tcW w:w="1730" w:type="dxa"/>
          </w:tcPr>
          <w:p w14:paraId="4D96D720" w14:textId="73D68A0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2EC7B6C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CAA7C88" w14:textId="77777777" w:rsidR="00E25A06" w:rsidRPr="00332B53" w:rsidRDefault="00E25A06" w:rsidP="00E25A06">
            <w:pPr>
              <w:rPr>
                <w:rFonts w:asciiTheme="minorHAnsi" w:hAnsiTheme="minorHAnsi" w:cstheme="minorHAnsi"/>
                <w:bCs/>
                <w:sz w:val="22"/>
                <w:szCs w:val="22"/>
              </w:rPr>
            </w:pPr>
            <w:r w:rsidRPr="00332B53">
              <w:rPr>
                <w:rFonts w:asciiTheme="minorHAnsi" w:hAnsiTheme="minorHAnsi" w:cstheme="minorHAnsi"/>
                <w:bCs/>
                <w:sz w:val="22"/>
                <w:szCs w:val="22"/>
              </w:rPr>
              <w:t>No other factors have been identified for consideration.</w:t>
            </w:r>
          </w:p>
          <w:p w14:paraId="3EBC9796" w14:textId="77777777" w:rsidR="00CE6D8F" w:rsidRPr="00332B53" w:rsidRDefault="00CE6D8F" w:rsidP="00CE6D8F">
            <w:pPr>
              <w:pStyle w:val="BodyText"/>
              <w:rPr>
                <w:rFonts w:asciiTheme="minorHAnsi" w:hAnsiTheme="minorHAnsi" w:cstheme="minorHAnsi"/>
                <w:bCs/>
                <w:sz w:val="22"/>
                <w:szCs w:val="22"/>
              </w:rPr>
            </w:pPr>
          </w:p>
        </w:tc>
        <w:tc>
          <w:tcPr>
            <w:tcW w:w="3752" w:type="dxa"/>
            <w:shd w:val="clear" w:color="auto" w:fill="E2EFD9" w:themeFill="accent6" w:themeFillTint="33"/>
          </w:tcPr>
          <w:p w14:paraId="64102969"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CCA82D3" w14:textId="77777777" w:rsidTr="001A138C">
        <w:tc>
          <w:tcPr>
            <w:tcW w:w="1730" w:type="dxa"/>
            <w:shd w:val="clear" w:color="auto" w:fill="D9D9D9" w:themeFill="background1" w:themeFillShade="D9"/>
          </w:tcPr>
          <w:p w14:paraId="0488168A" w14:textId="0879647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73D55D22" w14:textId="77777777" w:rsidR="00CE6D8F" w:rsidRPr="007A0F4A" w:rsidRDefault="00CE6D8F" w:rsidP="00CE6D8F">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5B62D99C" w14:textId="3DFB431F" w:rsidR="00CE6D8F" w:rsidRPr="00332B53" w:rsidRDefault="001A138C"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A43240A"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3966747" w14:textId="77777777" w:rsidTr="00576563">
        <w:tc>
          <w:tcPr>
            <w:tcW w:w="1730" w:type="dxa"/>
          </w:tcPr>
          <w:p w14:paraId="36E8B408" w14:textId="340F045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184F5EF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7FBDFB6" w14:textId="59245F70" w:rsidR="00CE6D8F" w:rsidRPr="00332B53" w:rsidRDefault="00A964B9"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Not at this point in time.</w:t>
            </w:r>
          </w:p>
        </w:tc>
        <w:tc>
          <w:tcPr>
            <w:tcW w:w="3752" w:type="dxa"/>
            <w:shd w:val="clear" w:color="auto" w:fill="E2EFD9" w:themeFill="accent6" w:themeFillTint="33"/>
          </w:tcPr>
          <w:p w14:paraId="54C20DC0"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5037DAE" w14:textId="77777777" w:rsidTr="00576563">
        <w:tc>
          <w:tcPr>
            <w:tcW w:w="1730" w:type="dxa"/>
          </w:tcPr>
          <w:p w14:paraId="628604F2" w14:textId="3F2552EB"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A78AFC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2FD16EE" w14:textId="3C1EBD6F" w:rsidR="00CE6D8F" w:rsidRPr="00332B53" w:rsidRDefault="0001723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12655891"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0BA3BC7" w14:textId="77777777" w:rsidTr="00576563">
        <w:tc>
          <w:tcPr>
            <w:tcW w:w="1730" w:type="dxa"/>
          </w:tcPr>
          <w:p w14:paraId="5E3D25E6" w14:textId="15EAE3C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AE3D2B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118122C" w14:textId="0867787F" w:rsidR="00CE6D8F" w:rsidRPr="00332B53" w:rsidRDefault="001F67D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not aware of any at this point</w:t>
            </w:r>
          </w:p>
        </w:tc>
        <w:tc>
          <w:tcPr>
            <w:tcW w:w="3752" w:type="dxa"/>
            <w:shd w:val="clear" w:color="auto" w:fill="E2EFD9" w:themeFill="accent6" w:themeFillTint="33"/>
          </w:tcPr>
          <w:p w14:paraId="537DEB5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BB9D21A" w14:textId="77777777" w:rsidTr="00576563">
        <w:tc>
          <w:tcPr>
            <w:tcW w:w="1730" w:type="dxa"/>
          </w:tcPr>
          <w:p w14:paraId="29195D85" w14:textId="25B6AFCF"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4D2573D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0DA8FC5" w14:textId="76B682AB"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Whilst not necessary for calculation of the curtailment limit, consumers may appreciate analysis from the DNO suggesting when curtailment is most likely, based on the blue example load profile. This would not be binding in any way, but will help consumers understand and balance the risks of curtailment with regards to their own circumstances (</w:t>
            </w:r>
            <w:proofErr w:type="gramStart"/>
            <w:r w:rsidRPr="00332B53">
              <w:rPr>
                <w:rFonts w:asciiTheme="minorHAnsi" w:hAnsiTheme="minorHAnsi" w:cstheme="minorHAnsi"/>
                <w:bCs/>
                <w:sz w:val="22"/>
                <w:szCs w:val="22"/>
                <w:lang w:val="en-GB"/>
              </w:rPr>
              <w:t>e.g.</w:t>
            </w:r>
            <w:proofErr w:type="gramEnd"/>
            <w:r w:rsidRPr="00332B53">
              <w:rPr>
                <w:rFonts w:asciiTheme="minorHAnsi" w:hAnsiTheme="minorHAnsi" w:cstheme="minorHAnsi"/>
                <w:bCs/>
                <w:sz w:val="22"/>
                <w:szCs w:val="22"/>
                <w:lang w:val="en-GB"/>
              </w:rPr>
              <w:t xml:space="preserve"> if curtailment is more likely to be outside of operating hours, it will have a lesser impact).</w:t>
            </w:r>
          </w:p>
        </w:tc>
        <w:tc>
          <w:tcPr>
            <w:tcW w:w="3752" w:type="dxa"/>
            <w:shd w:val="clear" w:color="auto" w:fill="E2EFD9" w:themeFill="accent6" w:themeFillTint="33"/>
          </w:tcPr>
          <w:p w14:paraId="4BCA5208"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2EF45C33" w14:textId="77777777" w:rsidTr="00576563">
        <w:tc>
          <w:tcPr>
            <w:tcW w:w="1730" w:type="dxa"/>
          </w:tcPr>
          <w:p w14:paraId="6DA5CA0F" w14:textId="6C836AD8"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0C45A06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63E3426"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The methodology should allow for re-assessment if there is a material change to the background demand or generation on the network.  Reference to the possibility should be included in the Offer and Connection </w:t>
            </w:r>
            <w:r w:rsidRPr="00332B53">
              <w:rPr>
                <w:rFonts w:asciiTheme="minorHAnsi" w:hAnsiTheme="minorHAnsi" w:cstheme="minorHAnsi"/>
                <w:bCs/>
                <w:sz w:val="22"/>
                <w:szCs w:val="22"/>
              </w:rPr>
              <w:lastRenderedPageBreak/>
              <w:t>Agreement with the connecting customer advised via a formal Notification. Two recent examples experienced by SPEN include:</w:t>
            </w:r>
          </w:p>
          <w:p w14:paraId="4B6393AF"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On the commencement of a two-day outage where the local network was placed in N-1 conditions, a combination of high wind generation in the area, coupled with low system demand, resulted in a waste treatment facility witnessing two separate sequential trip events placing the plant into island mode. Consequently, a local 20MW windfarm was curtailed to maintain system stability during the event.</w:t>
            </w:r>
          </w:p>
          <w:p w14:paraId="46258068"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An industrial facility which depended heavily on natural gas almost completely shut down when the cost of natural gas rose. This resulted in a local 38MW windfarm being constrained down several times.</w:t>
            </w:r>
          </w:p>
          <w:p w14:paraId="27BBFBD6" w14:textId="77777777" w:rsidR="000C6C27" w:rsidRPr="00332B53" w:rsidRDefault="000C6C27" w:rsidP="000C6C27">
            <w:pPr>
              <w:pStyle w:val="BodyText"/>
              <w:rPr>
                <w:rFonts w:asciiTheme="minorHAnsi" w:hAnsiTheme="minorHAnsi" w:cstheme="minorHAnsi"/>
                <w:bCs/>
                <w:sz w:val="22"/>
                <w:szCs w:val="22"/>
              </w:rPr>
            </w:pPr>
          </w:p>
          <w:p w14:paraId="662677B0" w14:textId="71B9035A" w:rsidR="00CE6D8F"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The potential risk of unlimited liability goes beyond the Ofgem direction.</w:t>
            </w:r>
          </w:p>
        </w:tc>
        <w:tc>
          <w:tcPr>
            <w:tcW w:w="3752" w:type="dxa"/>
            <w:shd w:val="clear" w:color="auto" w:fill="E2EFD9" w:themeFill="accent6" w:themeFillTint="33"/>
          </w:tcPr>
          <w:p w14:paraId="6CCA7B9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7F5C69F" w14:textId="77777777" w:rsidTr="00576563">
        <w:tc>
          <w:tcPr>
            <w:tcW w:w="1730" w:type="dxa"/>
          </w:tcPr>
          <w:p w14:paraId="6D10D316" w14:textId="08A6C7B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97ED3C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1902D06" w14:textId="2F4D7F39" w:rsidR="00CE6D8F"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231C18F2"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6820EF3" w14:textId="77777777" w:rsidTr="00576563">
        <w:tc>
          <w:tcPr>
            <w:tcW w:w="1730" w:type="dxa"/>
          </w:tcPr>
          <w:p w14:paraId="2CDD0CAC" w14:textId="0148C36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73BEFA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16603AF" w14:textId="4CA94E5D"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accept this methodology is a suitable compromise at this time.</w:t>
            </w:r>
          </w:p>
        </w:tc>
        <w:tc>
          <w:tcPr>
            <w:tcW w:w="3752" w:type="dxa"/>
            <w:shd w:val="clear" w:color="auto" w:fill="E2EFD9" w:themeFill="accent6" w:themeFillTint="33"/>
          </w:tcPr>
          <w:p w14:paraId="11A8098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74E7EB0" w14:textId="77777777" w:rsidTr="00576563">
        <w:tc>
          <w:tcPr>
            <w:tcW w:w="1730" w:type="dxa"/>
          </w:tcPr>
          <w:p w14:paraId="50DE451A" w14:textId="5F7BF21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A0DE5A3"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22F8D56" w14:textId="607779F0"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think any other factors need to be considered in the calculation of the curtailment limit aside from those mentioned in question 4.</w:t>
            </w:r>
          </w:p>
        </w:tc>
        <w:tc>
          <w:tcPr>
            <w:tcW w:w="3752" w:type="dxa"/>
            <w:shd w:val="clear" w:color="auto" w:fill="E2EFD9" w:themeFill="accent6" w:themeFillTint="33"/>
          </w:tcPr>
          <w:p w14:paraId="754DDE1A"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140E946D" w14:textId="77777777" w:rsidTr="00576563">
        <w:tc>
          <w:tcPr>
            <w:tcW w:w="1730" w:type="dxa"/>
          </w:tcPr>
          <w:p w14:paraId="50AB7586" w14:textId="31027F3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5CC86AC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FB5FB24" w14:textId="1E2D8B50"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A further factor to consider would be where existing ANM zones are actively being used, and the time this would take to reinforce these networks to remove the ANM.</w:t>
            </w:r>
          </w:p>
        </w:tc>
        <w:tc>
          <w:tcPr>
            <w:tcW w:w="3752" w:type="dxa"/>
            <w:shd w:val="clear" w:color="auto" w:fill="E2EFD9" w:themeFill="accent6" w:themeFillTint="33"/>
          </w:tcPr>
          <w:p w14:paraId="53703E30"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1CBC869F" w14:textId="77777777" w:rsidTr="00576563">
        <w:tc>
          <w:tcPr>
            <w:tcW w:w="14081" w:type="dxa"/>
            <w:gridSpan w:val="4"/>
            <w:shd w:val="clear" w:color="auto" w:fill="E2EFD9" w:themeFill="accent6" w:themeFillTint="33"/>
          </w:tcPr>
          <w:p w14:paraId="12BDF714"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lastRenderedPageBreak/>
              <w:t xml:space="preserve">Working Group Conclusions: </w:t>
            </w:r>
          </w:p>
        </w:tc>
      </w:tr>
    </w:tbl>
    <w:p w14:paraId="12BFD6C6" w14:textId="24B2275C" w:rsidR="00837728" w:rsidRDefault="0083772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562B1" w:rsidRPr="007A0F4A" w14:paraId="2BA0185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A84B4D"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D5DB8EB"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F8BD116"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1E0F7EF" w14:textId="5414D70D" w:rsidR="008562B1" w:rsidRPr="007A0F4A" w:rsidRDefault="00570B46">
            <w:pPr>
              <w:pStyle w:val="BodyTextNoSpacing"/>
              <w:numPr>
                <w:ilvl w:val="0"/>
                <w:numId w:val="3"/>
              </w:numPr>
              <w:rPr>
                <w:rFonts w:asciiTheme="minorHAnsi" w:hAnsiTheme="minorHAnsi" w:cstheme="minorHAnsi"/>
                <w:bCs/>
                <w:sz w:val="22"/>
                <w:szCs w:val="22"/>
              </w:rPr>
            </w:pPr>
            <w:r>
              <w:t>Do you agree that specific provision should be made where a DNO/IDNO Party should not follow the methodology for setting the Curtailment Limit where directed by the Authority not to? If not, please provide your reasons why.</w:t>
            </w:r>
          </w:p>
        </w:tc>
        <w:tc>
          <w:tcPr>
            <w:tcW w:w="3752" w:type="dxa"/>
            <w:shd w:val="clear" w:color="auto" w:fill="E2EFD9" w:themeFill="accent6" w:themeFillTint="33"/>
          </w:tcPr>
          <w:p w14:paraId="4E94557A" w14:textId="77777777" w:rsidR="008562B1" w:rsidRPr="007A0F4A" w:rsidRDefault="008562B1"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0AA8888" w14:textId="77777777" w:rsidTr="00576563">
        <w:tc>
          <w:tcPr>
            <w:tcW w:w="1730" w:type="dxa"/>
          </w:tcPr>
          <w:p w14:paraId="07176DB0" w14:textId="49448AE5"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8D7ABF7"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74ECF0F4" w14:textId="5254E34D"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No – not demonstrated on why this would be necessary</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40E4B2C2"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615FB4B0" w14:textId="77777777" w:rsidTr="00576563">
        <w:tc>
          <w:tcPr>
            <w:tcW w:w="1730" w:type="dxa"/>
          </w:tcPr>
          <w:p w14:paraId="03EF6899" w14:textId="7C55755F"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128C58B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D349251" w14:textId="7B02EA00" w:rsidR="00CE6D8F" w:rsidRPr="00332B53" w:rsidRDefault="00D07E32"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not all circumstances can be predicted it is sensible that where directed by the Authority a DNO/IDNO Party should not follow the methodology for setting the Curtailment Limit.</w:t>
            </w:r>
          </w:p>
        </w:tc>
        <w:tc>
          <w:tcPr>
            <w:tcW w:w="3752" w:type="dxa"/>
            <w:shd w:val="clear" w:color="auto" w:fill="E2EFD9" w:themeFill="accent6" w:themeFillTint="33"/>
          </w:tcPr>
          <w:p w14:paraId="54DDF07C"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52478AE" w14:textId="77777777" w:rsidTr="00576563">
        <w:tc>
          <w:tcPr>
            <w:tcW w:w="1730" w:type="dxa"/>
          </w:tcPr>
          <w:p w14:paraId="4663A45A" w14:textId="7584BBB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77A4EAA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CCC1B30" w14:textId="71F75892"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This is probably prudent as the approach is new and scenarios may arise where the approach produces a limit which appears too low. Giving the Authority powers to address this in particular situations and to allow for more detailed consideration of the issue to be undertaken with possibly changes to the methodology being brought forward in a future change proposal.</w:t>
            </w:r>
          </w:p>
        </w:tc>
        <w:tc>
          <w:tcPr>
            <w:tcW w:w="3752" w:type="dxa"/>
            <w:shd w:val="clear" w:color="auto" w:fill="E2EFD9" w:themeFill="accent6" w:themeFillTint="33"/>
          </w:tcPr>
          <w:p w14:paraId="0D3BAB3A"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C002002" w14:textId="77777777" w:rsidTr="00576563">
        <w:tc>
          <w:tcPr>
            <w:tcW w:w="1730" w:type="dxa"/>
          </w:tcPr>
          <w:p w14:paraId="2918CEEF" w14:textId="00214AA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37C7695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821D3A6" w14:textId="352CFF53" w:rsidR="00CE6D8F" w:rsidRPr="00332B53" w:rsidRDefault="00E25A06"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provision should be created. We believe there is a risk that this provision is excessively used which will lead to inconsistencies but as Ofgem direction is required to utilise the provision, we consider this risk to be negligible.</w:t>
            </w:r>
          </w:p>
        </w:tc>
        <w:tc>
          <w:tcPr>
            <w:tcW w:w="3752" w:type="dxa"/>
            <w:shd w:val="clear" w:color="auto" w:fill="E2EFD9" w:themeFill="accent6" w:themeFillTint="33"/>
          </w:tcPr>
          <w:p w14:paraId="44C1705B"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1DD7DC7E" w14:textId="77777777" w:rsidTr="00576563">
        <w:tc>
          <w:tcPr>
            <w:tcW w:w="1730" w:type="dxa"/>
          </w:tcPr>
          <w:p w14:paraId="42BB1A5A" w14:textId="1839719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530" w:type="dxa"/>
          </w:tcPr>
          <w:p w14:paraId="1EEED3B3"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173933F"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provision should be created. As Ofgem direction is required to utilise the</w:t>
            </w:r>
          </w:p>
          <w:p w14:paraId="4B3C4E2C" w14:textId="79E4DBC2" w:rsidR="00CE6D8F"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provision, there is minimal risk of overuse.</w:t>
            </w:r>
          </w:p>
        </w:tc>
        <w:tc>
          <w:tcPr>
            <w:tcW w:w="3752" w:type="dxa"/>
            <w:shd w:val="clear" w:color="auto" w:fill="E2EFD9" w:themeFill="accent6" w:themeFillTint="33"/>
          </w:tcPr>
          <w:p w14:paraId="638FC72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1D916F4A" w14:textId="77777777" w:rsidTr="00576563">
        <w:tc>
          <w:tcPr>
            <w:tcW w:w="1730" w:type="dxa"/>
          </w:tcPr>
          <w:p w14:paraId="201D7A07" w14:textId="6EC7529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5DF302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E46A77F" w14:textId="5C690B52" w:rsidR="00CE6D8F" w:rsidRPr="00332B53" w:rsidRDefault="00A964B9"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794ABD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01F3F16" w14:textId="77777777" w:rsidTr="00576563">
        <w:tc>
          <w:tcPr>
            <w:tcW w:w="1730" w:type="dxa"/>
          </w:tcPr>
          <w:p w14:paraId="268D4D72" w14:textId="6FB7936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15E0CB7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BEB08F2" w14:textId="2E035218" w:rsidR="00CE6D8F" w:rsidRPr="00332B53" w:rsidRDefault="0001723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2C30EE5"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8ADC13F" w14:textId="77777777" w:rsidTr="00576563">
        <w:tc>
          <w:tcPr>
            <w:tcW w:w="1730" w:type="dxa"/>
          </w:tcPr>
          <w:p w14:paraId="762276E5" w14:textId="709E6C5F"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23381CB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AB3531B" w14:textId="02BFF312" w:rsidR="00CE6D8F" w:rsidRPr="00332B53" w:rsidRDefault="001F67D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C88017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ABAF47C" w14:textId="77777777" w:rsidTr="00576563">
        <w:tc>
          <w:tcPr>
            <w:tcW w:w="1730" w:type="dxa"/>
          </w:tcPr>
          <w:p w14:paraId="37D388F8" w14:textId="709BC9B2"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493A5C1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EECFCC8" w14:textId="4B6150D3"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The circumstances under which a derogation is appropriate should be set by the Authority.</w:t>
            </w:r>
          </w:p>
        </w:tc>
        <w:tc>
          <w:tcPr>
            <w:tcW w:w="3752" w:type="dxa"/>
            <w:shd w:val="clear" w:color="auto" w:fill="E2EFD9" w:themeFill="accent6" w:themeFillTint="33"/>
          </w:tcPr>
          <w:p w14:paraId="44AA7799"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6BDF3FDF" w14:textId="77777777" w:rsidTr="00576563">
        <w:tc>
          <w:tcPr>
            <w:tcW w:w="1730" w:type="dxa"/>
          </w:tcPr>
          <w:p w14:paraId="28BE490D" w14:textId="2395AEF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270532B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D768845" w14:textId="4D03067D" w:rsidR="00CE6D8F" w:rsidRPr="00332B53" w:rsidRDefault="000C6C27"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this is appropriate and should be included in addition to specific reference that the methodology will need to be modified and adapted for more complex networks (e.g. meshed networks).</w:t>
            </w:r>
          </w:p>
        </w:tc>
        <w:tc>
          <w:tcPr>
            <w:tcW w:w="3752" w:type="dxa"/>
            <w:shd w:val="clear" w:color="auto" w:fill="E2EFD9" w:themeFill="accent6" w:themeFillTint="33"/>
          </w:tcPr>
          <w:p w14:paraId="17567BFC"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43465F3" w14:textId="77777777" w:rsidTr="00576563">
        <w:tc>
          <w:tcPr>
            <w:tcW w:w="1730" w:type="dxa"/>
          </w:tcPr>
          <w:p w14:paraId="2400B692" w14:textId="4065485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A68B1B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0013132" w14:textId="77777777" w:rsidR="00CE6D8F"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the draft legal text does not currently include such a provision. However, we would support such a provision if it clearly states that network users are also able to seek exemption from Ofgem in the same way as distributors, from the methodology for setting the Curtailment Limit in order to ensure equality of treatment.</w:t>
            </w:r>
          </w:p>
          <w:p w14:paraId="7ED221E1" w14:textId="56218AD7" w:rsidR="00C950BA" w:rsidRPr="00332B53" w:rsidRDefault="00C950BA" w:rsidP="00C950BA">
            <w:pPr>
              <w:pStyle w:val="Default"/>
              <w:rPr>
                <w:rFonts w:asciiTheme="minorHAnsi" w:hAnsiTheme="minorHAnsi" w:cstheme="minorHAnsi"/>
                <w:color w:val="0000FF"/>
                <w:sz w:val="22"/>
                <w:szCs w:val="22"/>
              </w:rPr>
            </w:pPr>
            <w:r w:rsidRPr="00332B53">
              <w:rPr>
                <w:rFonts w:asciiTheme="minorHAnsi" w:hAnsiTheme="minorHAnsi" w:cstheme="minorHAnsi"/>
                <w:sz w:val="22"/>
                <w:szCs w:val="22"/>
              </w:rPr>
              <w:t xml:space="preserve">Furthermore, if such a provision is included, then it is important to codify an obligation on the distributors to publish this information on what methodology or exemption for the Curtailment Threshold they are </w:t>
            </w:r>
            <w:r w:rsidRPr="00332B53">
              <w:rPr>
                <w:rFonts w:asciiTheme="minorHAnsi" w:hAnsiTheme="minorHAnsi" w:cstheme="minorHAnsi"/>
                <w:sz w:val="22"/>
                <w:szCs w:val="22"/>
              </w:rPr>
              <w:lastRenderedPageBreak/>
              <w:t xml:space="preserve">following, in accordance with the work (see Question 33 below) of the </w:t>
            </w:r>
            <w:hyperlink r:id="rId8" w:history="1">
              <w:r w:rsidRPr="00332B53">
                <w:rPr>
                  <w:rStyle w:val="Hyperlink"/>
                  <w:rFonts w:asciiTheme="minorHAnsi" w:hAnsiTheme="minorHAnsi" w:cstheme="minorHAnsi"/>
                  <w:sz w:val="22"/>
                  <w:szCs w:val="22"/>
                </w:rPr>
                <w:t>Energy Data Taskforce</w:t>
              </w:r>
            </w:hyperlink>
            <w:r w:rsidRPr="00332B53">
              <w:rPr>
                <w:rFonts w:asciiTheme="minorHAnsi" w:hAnsiTheme="minorHAnsi" w:cstheme="minorHAnsi"/>
                <w:color w:val="0000FF"/>
                <w:sz w:val="22"/>
                <w:szCs w:val="22"/>
              </w:rPr>
              <w:t xml:space="preserve">. </w:t>
            </w:r>
          </w:p>
          <w:p w14:paraId="2D75A50D" w14:textId="433FC1F8" w:rsidR="00C950BA" w:rsidRPr="00332B53" w:rsidRDefault="00C950BA" w:rsidP="00CE6D8F">
            <w:pPr>
              <w:pStyle w:val="BodyText"/>
              <w:rPr>
                <w:rFonts w:asciiTheme="minorHAnsi" w:hAnsiTheme="minorHAnsi" w:cstheme="minorHAnsi"/>
                <w:bCs/>
                <w:sz w:val="22"/>
                <w:szCs w:val="22"/>
              </w:rPr>
            </w:pPr>
          </w:p>
        </w:tc>
        <w:tc>
          <w:tcPr>
            <w:tcW w:w="3752" w:type="dxa"/>
            <w:shd w:val="clear" w:color="auto" w:fill="E2EFD9" w:themeFill="accent6" w:themeFillTint="33"/>
          </w:tcPr>
          <w:p w14:paraId="15499DB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F854AFB" w14:textId="77777777" w:rsidTr="00576563">
        <w:tc>
          <w:tcPr>
            <w:tcW w:w="1730" w:type="dxa"/>
          </w:tcPr>
          <w:p w14:paraId="55EDF8D2" w14:textId="0895F87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256F8388"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215B9D2" w14:textId="3C887A32"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above - the methodology is a reasonable approach for estimating curtailment limits but is untested in the real-world and my fail to adequately assess all network configurations.  We are concerned that (should a specific situation require a different approach) an appeal to Authority may not be completed in time to meet the timescales as set out in the Electricity (Connection Standards of Performance) Regulations 2015 and License.</w:t>
            </w:r>
          </w:p>
        </w:tc>
        <w:tc>
          <w:tcPr>
            <w:tcW w:w="3752" w:type="dxa"/>
            <w:shd w:val="clear" w:color="auto" w:fill="E2EFD9" w:themeFill="accent6" w:themeFillTint="33"/>
          </w:tcPr>
          <w:p w14:paraId="568676B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012F75E" w14:textId="77777777" w:rsidTr="00576563">
        <w:tc>
          <w:tcPr>
            <w:tcW w:w="1730" w:type="dxa"/>
          </w:tcPr>
          <w:p w14:paraId="106889AB" w14:textId="7C68ED0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57615E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E32FBE8" w14:textId="6B5797BD"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having a provision where a more detailed or bespoke methodology may be required. However, a Direction from the Authority carries a disproportionate administrative burden and we think other options such as a requirement for transparency when deviating from the common methodology or adopting alternatives by agreement with the customer may be more proportionate to the circumstances.</w:t>
            </w:r>
          </w:p>
        </w:tc>
        <w:tc>
          <w:tcPr>
            <w:tcW w:w="3752" w:type="dxa"/>
            <w:shd w:val="clear" w:color="auto" w:fill="E2EFD9" w:themeFill="accent6" w:themeFillTint="33"/>
          </w:tcPr>
          <w:p w14:paraId="34F6EDF1"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5CF891D" w14:textId="77777777" w:rsidTr="00576563">
        <w:tc>
          <w:tcPr>
            <w:tcW w:w="1730" w:type="dxa"/>
          </w:tcPr>
          <w:p w14:paraId="501E5CFD" w14:textId="605A078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37E2296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1F695D0" w14:textId="77777777" w:rsidR="00FC694B" w:rsidRPr="00332B53" w:rsidRDefault="00FC694B" w:rsidP="00FC694B">
            <w:pPr>
              <w:rPr>
                <w:rFonts w:asciiTheme="minorHAnsi" w:hAnsiTheme="minorHAnsi" w:cstheme="minorHAnsi"/>
                <w:bCs/>
                <w:sz w:val="22"/>
                <w:szCs w:val="22"/>
              </w:rPr>
            </w:pPr>
            <w:r w:rsidRPr="00332B53">
              <w:rPr>
                <w:rFonts w:asciiTheme="minorHAnsi" w:hAnsiTheme="minorHAnsi" w:cstheme="minorHAnsi"/>
                <w:bCs/>
                <w:sz w:val="22"/>
                <w:szCs w:val="22"/>
              </w:rPr>
              <w:t>Yes, we agree with this specific provision. We feel as though this should be a blanket direction to enable a DNO/IDNO to apply the provision as required rather than seek Authority direction on a case-by-case basis.</w:t>
            </w:r>
          </w:p>
          <w:p w14:paraId="7A5A5569" w14:textId="77777777" w:rsidR="00CE6D8F" w:rsidRPr="00332B53" w:rsidRDefault="00CE6D8F" w:rsidP="00CE6D8F">
            <w:pPr>
              <w:pStyle w:val="BodyText"/>
              <w:rPr>
                <w:rFonts w:asciiTheme="minorHAnsi" w:hAnsiTheme="minorHAnsi" w:cstheme="minorHAnsi"/>
                <w:bCs/>
                <w:sz w:val="22"/>
                <w:szCs w:val="22"/>
              </w:rPr>
            </w:pPr>
          </w:p>
        </w:tc>
        <w:tc>
          <w:tcPr>
            <w:tcW w:w="3752" w:type="dxa"/>
            <w:shd w:val="clear" w:color="auto" w:fill="E2EFD9" w:themeFill="accent6" w:themeFillTint="33"/>
          </w:tcPr>
          <w:p w14:paraId="768BA1EA"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6EDE4001" w14:textId="77777777" w:rsidTr="00576563">
        <w:tc>
          <w:tcPr>
            <w:tcW w:w="14081" w:type="dxa"/>
            <w:gridSpan w:val="4"/>
            <w:shd w:val="clear" w:color="auto" w:fill="E2EFD9" w:themeFill="accent6" w:themeFillTint="33"/>
          </w:tcPr>
          <w:p w14:paraId="514212F6"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19CAD11" w14:textId="36B140DC" w:rsidR="008562B1" w:rsidRDefault="008562B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570B46" w:rsidRPr="007A0F4A" w14:paraId="552C8642"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1E79E0D"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3DA73290"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24B8FFC"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7DF8FF0" w14:textId="7981461C" w:rsidR="00570B46" w:rsidRPr="007A0F4A" w:rsidRDefault="00C66D82">
            <w:pPr>
              <w:pStyle w:val="BodyTextNoSpacing"/>
              <w:numPr>
                <w:ilvl w:val="0"/>
                <w:numId w:val="3"/>
              </w:numPr>
              <w:rPr>
                <w:rFonts w:asciiTheme="minorHAnsi" w:hAnsiTheme="minorHAnsi" w:cstheme="minorHAnsi"/>
                <w:bCs/>
                <w:sz w:val="22"/>
                <w:szCs w:val="22"/>
              </w:rPr>
            </w:pPr>
            <w:r>
              <w:t>Do you agree</w:t>
            </w:r>
            <w:r w:rsidRPr="00490F66">
              <w:t xml:space="preserve"> with the proposed method</w:t>
            </w:r>
            <w:r>
              <w:t>ology for measuring Curtailment? If not, please provide your reasons why.</w:t>
            </w:r>
          </w:p>
        </w:tc>
        <w:tc>
          <w:tcPr>
            <w:tcW w:w="3752" w:type="dxa"/>
            <w:shd w:val="clear" w:color="auto" w:fill="E2EFD9" w:themeFill="accent6" w:themeFillTint="33"/>
          </w:tcPr>
          <w:p w14:paraId="16A1B86A" w14:textId="77777777" w:rsidR="00570B46" w:rsidRPr="007A0F4A" w:rsidRDefault="00570B46"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979DC15" w14:textId="77777777" w:rsidTr="00576563">
        <w:tc>
          <w:tcPr>
            <w:tcW w:w="1730" w:type="dxa"/>
          </w:tcPr>
          <w:p w14:paraId="23C869BD" w14:textId="42FCCD6C"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5A8D3733"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768B7A90" w14:textId="78B0B40F"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but we are unclear from the documentation how the customer’s curtailable capacity is to be determined. We note that this forms part of the connection agreement and it would make sense for this to be the capacity which can be accommodated on the network without reinforcement but do not believe that this is explicit in the legal text.</w:t>
            </w:r>
          </w:p>
        </w:tc>
        <w:tc>
          <w:tcPr>
            <w:tcW w:w="3752" w:type="dxa"/>
            <w:shd w:val="clear" w:color="auto" w:fill="E2EFD9" w:themeFill="accent6" w:themeFillTint="33"/>
          </w:tcPr>
          <w:p w14:paraId="5FE9DAC0"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3C0B15D0" w14:textId="77777777" w:rsidTr="00576563">
        <w:tc>
          <w:tcPr>
            <w:tcW w:w="1730" w:type="dxa"/>
          </w:tcPr>
          <w:p w14:paraId="06AD70C8" w14:textId="6CEEB76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6CC555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7F1C1CB" w14:textId="337FB7FC" w:rsidR="00CE6D8F" w:rsidRPr="00332B53" w:rsidRDefault="00D07E32"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0A4598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26573D5" w14:textId="77777777" w:rsidTr="00576563">
        <w:tc>
          <w:tcPr>
            <w:tcW w:w="1730" w:type="dxa"/>
          </w:tcPr>
          <w:p w14:paraId="68AB4B42" w14:textId="1CFEC05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0E73147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FE606BA" w14:textId="2D07E8C4"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support this approach as it provides incentives to network operators to curtail to the minimum level required. However, on reviewing the payment calculations more closely, if the measurement of curtailment is done quarterly then each payment should be divided by four to ensure customers are not paid multiple times for the same breach.</w:t>
            </w:r>
          </w:p>
        </w:tc>
        <w:tc>
          <w:tcPr>
            <w:tcW w:w="3752" w:type="dxa"/>
            <w:shd w:val="clear" w:color="auto" w:fill="E2EFD9" w:themeFill="accent6" w:themeFillTint="33"/>
          </w:tcPr>
          <w:p w14:paraId="669D0F6B"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A341298" w14:textId="77777777" w:rsidTr="00576563">
        <w:tc>
          <w:tcPr>
            <w:tcW w:w="1730" w:type="dxa"/>
          </w:tcPr>
          <w:p w14:paraId="257A4E1B" w14:textId="7426707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60133A7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CB6230B" w14:textId="0212AD28" w:rsidR="00CE6D8F" w:rsidRPr="00332B53" w:rsidRDefault="00E25A06"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proposed methodology allows the networks to achieve the objectives of Ofgem's Access SCR direction.</w:t>
            </w:r>
          </w:p>
        </w:tc>
        <w:tc>
          <w:tcPr>
            <w:tcW w:w="3752" w:type="dxa"/>
            <w:shd w:val="clear" w:color="auto" w:fill="E2EFD9" w:themeFill="accent6" w:themeFillTint="33"/>
          </w:tcPr>
          <w:p w14:paraId="526B51F5"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23F8021" w14:textId="77777777" w:rsidTr="001A138C">
        <w:tc>
          <w:tcPr>
            <w:tcW w:w="1730" w:type="dxa"/>
            <w:shd w:val="clear" w:color="auto" w:fill="D9D9D9" w:themeFill="background1" w:themeFillShade="D9"/>
          </w:tcPr>
          <w:p w14:paraId="406DFC5E" w14:textId="01B4BC4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677764B" w14:textId="77777777" w:rsidR="00CE6D8F" w:rsidRPr="007A0F4A" w:rsidRDefault="00CE6D8F" w:rsidP="00CE6D8F">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4001F469" w14:textId="510AA5DB" w:rsidR="00CE6D8F" w:rsidRPr="00332B53" w:rsidRDefault="001A138C"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260A3FD4"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9415CE6" w14:textId="77777777" w:rsidTr="00576563">
        <w:tc>
          <w:tcPr>
            <w:tcW w:w="1730" w:type="dxa"/>
          </w:tcPr>
          <w:p w14:paraId="0890E9C5" w14:textId="0DA6C064"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3A64EB0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C98674B" w14:textId="635416E7" w:rsidR="00CE6D8F" w:rsidRPr="00332B53" w:rsidRDefault="00A964B9"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DBF9199"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9C11012" w14:textId="77777777" w:rsidTr="00576563">
        <w:tc>
          <w:tcPr>
            <w:tcW w:w="1730" w:type="dxa"/>
          </w:tcPr>
          <w:p w14:paraId="1A1A2BDB" w14:textId="512F6757"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911212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13303DC" w14:textId="08C565D5" w:rsidR="00CE6D8F" w:rsidRPr="00332B53" w:rsidRDefault="0001723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D27C51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E62BF1E" w14:textId="77777777" w:rsidTr="00576563">
        <w:tc>
          <w:tcPr>
            <w:tcW w:w="1730" w:type="dxa"/>
          </w:tcPr>
          <w:p w14:paraId="23424C28" w14:textId="229C492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4170708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19A98C8" w14:textId="2AE236A3" w:rsidR="00CE6D8F" w:rsidRPr="00332B53" w:rsidRDefault="001F67D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2E3F609"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6F784FD" w14:textId="77777777" w:rsidTr="00576563">
        <w:tc>
          <w:tcPr>
            <w:tcW w:w="1730" w:type="dxa"/>
          </w:tcPr>
          <w:p w14:paraId="28278452" w14:textId="13FEF026"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0F0BF85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941C338" w14:textId="2BB4044C"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AEB10FD"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3C903297" w14:textId="77777777" w:rsidTr="00576563">
        <w:tc>
          <w:tcPr>
            <w:tcW w:w="1730" w:type="dxa"/>
          </w:tcPr>
          <w:p w14:paraId="79654401" w14:textId="364F956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3CEEE43B"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3B68DAA" w14:textId="077E87BD" w:rsidR="00CE6D8F" w:rsidRPr="00332B53" w:rsidRDefault="000C6C27"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the proposed methodology.</w:t>
            </w:r>
          </w:p>
        </w:tc>
        <w:tc>
          <w:tcPr>
            <w:tcW w:w="3752" w:type="dxa"/>
            <w:shd w:val="clear" w:color="auto" w:fill="E2EFD9" w:themeFill="accent6" w:themeFillTint="33"/>
          </w:tcPr>
          <w:p w14:paraId="7D65919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ACF7D7C" w14:textId="77777777" w:rsidTr="00576563">
        <w:tc>
          <w:tcPr>
            <w:tcW w:w="1730" w:type="dxa"/>
          </w:tcPr>
          <w:p w14:paraId="63A4617A" w14:textId="26247C9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43C81E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0513D90" w14:textId="67183F59" w:rsidR="00CE6D8F"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suggest that the curtailment start and end times should be rounded to the nearest whole settlement period for ease, and included in the Curtailment Reporting to the Customer (and other stakeholders).</w:t>
            </w:r>
          </w:p>
        </w:tc>
        <w:tc>
          <w:tcPr>
            <w:tcW w:w="3752" w:type="dxa"/>
            <w:shd w:val="clear" w:color="auto" w:fill="E2EFD9" w:themeFill="accent6" w:themeFillTint="33"/>
          </w:tcPr>
          <w:p w14:paraId="17B3765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B7D84F3" w14:textId="77777777" w:rsidTr="00576563">
        <w:tc>
          <w:tcPr>
            <w:tcW w:w="1730" w:type="dxa"/>
          </w:tcPr>
          <w:p w14:paraId="24F85131" w14:textId="60CBBE2F"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654F8CF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7DF69C6" w14:textId="215C023D"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noting that the Curtailment Instruction Value, as it is written, is the difference between the Curtailable Import/Export Capacity and the instructed limit.  An explanatory note added to the legal text may aid wider understanding.</w:t>
            </w:r>
          </w:p>
        </w:tc>
        <w:tc>
          <w:tcPr>
            <w:tcW w:w="3752" w:type="dxa"/>
            <w:shd w:val="clear" w:color="auto" w:fill="E2EFD9" w:themeFill="accent6" w:themeFillTint="33"/>
          </w:tcPr>
          <w:p w14:paraId="10E99172"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E8C7B75" w14:textId="77777777" w:rsidTr="00576563">
        <w:tc>
          <w:tcPr>
            <w:tcW w:w="1730" w:type="dxa"/>
          </w:tcPr>
          <w:p w14:paraId="57B5B0B1" w14:textId="034C066A"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04855D5"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E351304"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methodology for measuring curtailment. Although this may not fully reflect the impact on the customer, it is simple to calculate and deterministic – not requiring forecasting/modelling of the curtailed customer’s momentary import/export.</w:t>
            </w:r>
          </w:p>
          <w:p w14:paraId="2211BCEC" w14:textId="352767B5" w:rsidR="00CE6D8F"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concerns that measuring curtailment of a 12 month rolling period every quarter may lead to double counting of any calculated curtailment above the agreed 12 month limit. If, for example, there is a quarter with exceptionally high curtailment, this will contribute to the assessment against the limit up to 4 times as each quarterly assessment is made. This could lead to excess curtailment being identified repeatedly which has already been addressed in a previous assessment. We believe this should be directly addressed in the legal text as it could be financially material.</w:t>
            </w:r>
          </w:p>
        </w:tc>
        <w:tc>
          <w:tcPr>
            <w:tcW w:w="3752" w:type="dxa"/>
            <w:shd w:val="clear" w:color="auto" w:fill="E2EFD9" w:themeFill="accent6" w:themeFillTint="33"/>
          </w:tcPr>
          <w:p w14:paraId="1D897CFB"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FA98D24" w14:textId="77777777" w:rsidTr="00576563">
        <w:tc>
          <w:tcPr>
            <w:tcW w:w="1730" w:type="dxa"/>
          </w:tcPr>
          <w:p w14:paraId="2A3E0FA4" w14:textId="169ED538"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29EAD16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0715469" w14:textId="3564E252" w:rsidR="00CE6D8F" w:rsidRPr="00332B53" w:rsidRDefault="00FC694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6C005C2"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665CD229" w14:textId="77777777" w:rsidTr="00576563">
        <w:tc>
          <w:tcPr>
            <w:tcW w:w="14081" w:type="dxa"/>
            <w:gridSpan w:val="4"/>
            <w:shd w:val="clear" w:color="auto" w:fill="E2EFD9" w:themeFill="accent6" w:themeFillTint="33"/>
          </w:tcPr>
          <w:p w14:paraId="50B5B7E6"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4911FB6F" w14:textId="74023908" w:rsidR="00570B46" w:rsidRDefault="00570B46">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66D82" w:rsidRPr="007A0F4A" w14:paraId="77C342B1"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CD2F515"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4111153"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DD2902B"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1F1947F" w14:textId="301FAC2C" w:rsidR="00C66D82" w:rsidRPr="007A0F4A" w:rsidRDefault="00014CF9">
            <w:pPr>
              <w:pStyle w:val="BodyTextNoSpacing"/>
              <w:numPr>
                <w:ilvl w:val="0"/>
                <w:numId w:val="3"/>
              </w:numPr>
              <w:rPr>
                <w:rFonts w:asciiTheme="minorHAnsi" w:hAnsiTheme="minorHAnsi" w:cstheme="minorHAnsi"/>
                <w:bCs/>
                <w:sz w:val="22"/>
                <w:szCs w:val="22"/>
              </w:rPr>
            </w:pPr>
            <w:r>
              <w:t>Do you agree</w:t>
            </w:r>
            <w:r w:rsidRPr="00490F66">
              <w:t xml:space="preserve"> with the proposed </w:t>
            </w:r>
            <w:r>
              <w:t>approach for reporting Curtailment to a Customer? If not, please provide your reasons why.</w:t>
            </w:r>
          </w:p>
        </w:tc>
        <w:tc>
          <w:tcPr>
            <w:tcW w:w="3752" w:type="dxa"/>
            <w:shd w:val="clear" w:color="auto" w:fill="E2EFD9" w:themeFill="accent6" w:themeFillTint="33"/>
          </w:tcPr>
          <w:p w14:paraId="2BDA7B91" w14:textId="77777777" w:rsidR="00C66D82" w:rsidRPr="007A0F4A" w:rsidRDefault="00C66D82"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CAF868A" w14:textId="77777777" w:rsidTr="00576563">
        <w:tc>
          <w:tcPr>
            <w:tcW w:w="1730" w:type="dxa"/>
          </w:tcPr>
          <w:p w14:paraId="39D2257D" w14:textId="14C91BC0"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4DF4F2EB"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917F84A" w14:textId="31D7F8DE"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Yes, this is appropriate</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379CFD55"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17050562" w14:textId="77777777" w:rsidTr="00576563">
        <w:tc>
          <w:tcPr>
            <w:tcW w:w="1730" w:type="dxa"/>
          </w:tcPr>
          <w:p w14:paraId="11C5827D" w14:textId="45BE8CAB"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12BC28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6D1F1E8" w14:textId="4A9A29D4" w:rsidR="00CE6D8F" w:rsidRPr="00332B53" w:rsidRDefault="00D07E32"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F3A34B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13BFC8F" w14:textId="77777777" w:rsidTr="00576563">
        <w:tc>
          <w:tcPr>
            <w:tcW w:w="1730" w:type="dxa"/>
          </w:tcPr>
          <w:p w14:paraId="651F5EB6" w14:textId="3A274D9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7F814FF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EE6C859" w14:textId="2B7238B0"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the proposed approach for reporting.</w:t>
            </w:r>
          </w:p>
        </w:tc>
        <w:tc>
          <w:tcPr>
            <w:tcW w:w="3752" w:type="dxa"/>
            <w:shd w:val="clear" w:color="auto" w:fill="E2EFD9" w:themeFill="accent6" w:themeFillTint="33"/>
          </w:tcPr>
          <w:p w14:paraId="16A0C89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CE4F445" w14:textId="77777777" w:rsidTr="00576563">
        <w:tc>
          <w:tcPr>
            <w:tcW w:w="1730" w:type="dxa"/>
          </w:tcPr>
          <w:p w14:paraId="6F2EA449" w14:textId="10D79E87"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6B6166E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2B5726E" w14:textId="4836F5BA" w:rsidR="00CE6D8F" w:rsidRPr="00332B53" w:rsidRDefault="00E25A06" w:rsidP="00E25A06">
            <w:pPr>
              <w:rPr>
                <w:rFonts w:asciiTheme="minorHAnsi" w:hAnsiTheme="minorHAnsi" w:cstheme="minorHAnsi"/>
                <w:bCs/>
                <w:sz w:val="22"/>
                <w:szCs w:val="22"/>
              </w:rPr>
            </w:pPr>
            <w:r w:rsidRPr="00332B53">
              <w:rPr>
                <w:rFonts w:asciiTheme="minorHAnsi" w:hAnsiTheme="minorHAnsi" w:cstheme="minorHAnsi"/>
                <w:bCs/>
                <w:sz w:val="22"/>
                <w:szCs w:val="22"/>
              </w:rPr>
              <w:t>There is a gap in details for reporting requirements to customers, notably on timescales. This is not specified in the consultation document or in the legal text and should be addressed to align customer expectations.</w:t>
            </w:r>
          </w:p>
        </w:tc>
        <w:tc>
          <w:tcPr>
            <w:tcW w:w="3752" w:type="dxa"/>
            <w:shd w:val="clear" w:color="auto" w:fill="E2EFD9" w:themeFill="accent6" w:themeFillTint="33"/>
          </w:tcPr>
          <w:p w14:paraId="55F3969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8A0F137" w14:textId="77777777" w:rsidTr="00576563">
        <w:tc>
          <w:tcPr>
            <w:tcW w:w="1730" w:type="dxa"/>
          </w:tcPr>
          <w:p w14:paraId="55DD586B" w14:textId="3AE9554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2795EC78"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DD63304"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There is a gap in details for reporting requirements to customers, notably on</w:t>
            </w:r>
          </w:p>
          <w:p w14:paraId="2D6FF4F9"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timescales. This is not specified in the consultation document or in the legal text and</w:t>
            </w:r>
          </w:p>
          <w:p w14:paraId="3D9D8B24" w14:textId="3B15CA1A" w:rsidR="00CE6D8F"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should be addressed to align customer expectations.</w:t>
            </w:r>
          </w:p>
        </w:tc>
        <w:tc>
          <w:tcPr>
            <w:tcW w:w="3752" w:type="dxa"/>
            <w:shd w:val="clear" w:color="auto" w:fill="E2EFD9" w:themeFill="accent6" w:themeFillTint="33"/>
          </w:tcPr>
          <w:p w14:paraId="5FEFABDC"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B1DAB92" w14:textId="77777777" w:rsidTr="00576563">
        <w:tc>
          <w:tcPr>
            <w:tcW w:w="1730" w:type="dxa"/>
          </w:tcPr>
          <w:p w14:paraId="7951CD60" w14:textId="247902B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240DC0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D44DD38" w14:textId="534DCEAD" w:rsidR="00CE6D8F" w:rsidRPr="00332B53" w:rsidRDefault="00A964B9"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5E7726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F84C835" w14:textId="77777777" w:rsidTr="00576563">
        <w:tc>
          <w:tcPr>
            <w:tcW w:w="1730" w:type="dxa"/>
          </w:tcPr>
          <w:p w14:paraId="2105820C" w14:textId="51693D3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Octopus</w:t>
            </w:r>
          </w:p>
        </w:tc>
        <w:tc>
          <w:tcPr>
            <w:tcW w:w="1530" w:type="dxa"/>
          </w:tcPr>
          <w:p w14:paraId="6B5ABE1B"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354693A"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 to reporting and the frequency with which reports will be</w:t>
            </w:r>
          </w:p>
          <w:p w14:paraId="18559CF5"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shared with customers. As well as the number of curtailment hours a customer has been instructed</w:t>
            </w:r>
          </w:p>
          <w:p w14:paraId="2773100A"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to make it would also be valuable to report the distribution of periods that curtailment usually occurs</w:t>
            </w:r>
          </w:p>
          <w:p w14:paraId="043B097B"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in. We therefore recommend that this is also a requirement for the quarterly reports that are shared</w:t>
            </w:r>
          </w:p>
          <w:p w14:paraId="133BF10C" w14:textId="67E76FD9" w:rsidR="00CE6D8F"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with customers.</w:t>
            </w:r>
          </w:p>
        </w:tc>
        <w:tc>
          <w:tcPr>
            <w:tcW w:w="3752" w:type="dxa"/>
            <w:shd w:val="clear" w:color="auto" w:fill="E2EFD9" w:themeFill="accent6" w:themeFillTint="33"/>
          </w:tcPr>
          <w:p w14:paraId="7D9B07B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E1BBB76" w14:textId="77777777" w:rsidTr="00576563">
        <w:tc>
          <w:tcPr>
            <w:tcW w:w="1730" w:type="dxa"/>
          </w:tcPr>
          <w:p w14:paraId="17F0C009" w14:textId="4D5DEC3A"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A03D5A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0289DAB" w14:textId="25874887" w:rsidR="00CE6D8F" w:rsidRPr="00332B53" w:rsidRDefault="001F67D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1358AD4"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7846CEC" w14:textId="77777777" w:rsidTr="00576563">
        <w:tc>
          <w:tcPr>
            <w:tcW w:w="1730" w:type="dxa"/>
          </w:tcPr>
          <w:p w14:paraId="18E2690E" w14:textId="4CD57D33"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40E4EF2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9B7F720" w14:textId="79BC424D"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1904A70"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6016D6CA" w14:textId="77777777" w:rsidTr="00576563">
        <w:tc>
          <w:tcPr>
            <w:tcW w:w="1730" w:type="dxa"/>
          </w:tcPr>
          <w:p w14:paraId="7ADCE692" w14:textId="3530DAC8"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0786770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C9161D2" w14:textId="6124C704" w:rsidR="00CE6D8F" w:rsidRPr="00332B53" w:rsidRDefault="000C6C27"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w:t>
            </w:r>
          </w:p>
        </w:tc>
        <w:tc>
          <w:tcPr>
            <w:tcW w:w="3752" w:type="dxa"/>
            <w:shd w:val="clear" w:color="auto" w:fill="E2EFD9" w:themeFill="accent6" w:themeFillTint="33"/>
          </w:tcPr>
          <w:p w14:paraId="00628F0F"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45AF000" w14:textId="77777777" w:rsidTr="00576563">
        <w:tc>
          <w:tcPr>
            <w:tcW w:w="1730" w:type="dxa"/>
          </w:tcPr>
          <w:p w14:paraId="33102CDD" w14:textId="2E45E88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0E95EE2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066C811" w14:textId="77777777" w:rsidR="00CE6D8F"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would like section 4. of the proposed legal text (‘Curtailment Reporting’) to specify a reporting timeframe to the Customer which must be less than the timeframe in section 3. which specifies the timeframe for a distributor having to make payment to the customer if the distributor has exceeded the Customer’s curtailment limit – currently proposed to be 30 days.</w:t>
            </w:r>
          </w:p>
          <w:p w14:paraId="423E9F8E" w14:textId="77777777" w:rsidR="00C950BA"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The reporting format, which should also be set out in section 4., should itemise each period of Curtailment over the quarter, detailing the start and end times, inclusive settlement periods and Exceeded Curtailment Price to ensure full transparency to the Customer.</w:t>
            </w:r>
          </w:p>
          <w:p w14:paraId="28DD4BA5" w14:textId="7F129024" w:rsidR="00C950BA"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In order to also ensure full transparency to stakeholders at large about distributors’ curtailment activities, and in accordance with the work of the Energy Data Taskforce, we consider that distributors should be mandated to regularly publish a summary of their curtailment activities, and that this obligation is codified in the DCUSA (see Question 33 below).</w:t>
            </w:r>
          </w:p>
        </w:tc>
        <w:tc>
          <w:tcPr>
            <w:tcW w:w="3752" w:type="dxa"/>
            <w:shd w:val="clear" w:color="auto" w:fill="E2EFD9" w:themeFill="accent6" w:themeFillTint="33"/>
          </w:tcPr>
          <w:p w14:paraId="4CABC2BF"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859147E" w14:textId="77777777" w:rsidTr="00576563">
        <w:tc>
          <w:tcPr>
            <w:tcW w:w="1730" w:type="dxa"/>
          </w:tcPr>
          <w:p w14:paraId="700A393E" w14:textId="4AF71E0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5342F40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A98E87E" w14:textId="21DF7802" w:rsidR="00CE6D8F" w:rsidRPr="00332B53" w:rsidRDefault="00745814"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71C00D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737C09D" w14:textId="77777777" w:rsidTr="00576563">
        <w:tc>
          <w:tcPr>
            <w:tcW w:w="1730" w:type="dxa"/>
          </w:tcPr>
          <w:p w14:paraId="20F63869" w14:textId="05488E6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20DED01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C4F7BD3"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quarterly is a proportionate reporting period for customers and network companies. We also agree that the network company should make reasonable endeavours to notify customers in advance if they are likely to see curtailment in excess of the limit – this should be a natural outcome from the requirement for network companies to take reasonable steps to avoid curtailment in excess of the agreed limit.</w:t>
            </w:r>
          </w:p>
          <w:p w14:paraId="1EE1C1D2" w14:textId="004E1F2E" w:rsidR="00CE6D8F"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Although note our comments on the calculation period in the response to question 9 above.</w:t>
            </w:r>
          </w:p>
        </w:tc>
        <w:tc>
          <w:tcPr>
            <w:tcW w:w="3752" w:type="dxa"/>
            <w:shd w:val="clear" w:color="auto" w:fill="E2EFD9" w:themeFill="accent6" w:themeFillTint="33"/>
          </w:tcPr>
          <w:p w14:paraId="55D5695C"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118E6C4C" w14:textId="77777777" w:rsidTr="00576563">
        <w:tc>
          <w:tcPr>
            <w:tcW w:w="1730" w:type="dxa"/>
          </w:tcPr>
          <w:p w14:paraId="2D06180D" w14:textId="4B8AAE7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5DD5767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12EF24C" w14:textId="393DBD8C"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it aligns with the proposal for measuring curtailment</w:t>
            </w:r>
          </w:p>
        </w:tc>
        <w:tc>
          <w:tcPr>
            <w:tcW w:w="3752" w:type="dxa"/>
            <w:shd w:val="clear" w:color="auto" w:fill="E2EFD9" w:themeFill="accent6" w:themeFillTint="33"/>
          </w:tcPr>
          <w:p w14:paraId="61122E7D"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45CCFA50" w14:textId="77777777" w:rsidTr="00576563">
        <w:tc>
          <w:tcPr>
            <w:tcW w:w="14081" w:type="dxa"/>
            <w:gridSpan w:val="4"/>
            <w:shd w:val="clear" w:color="auto" w:fill="E2EFD9" w:themeFill="accent6" w:themeFillTint="33"/>
          </w:tcPr>
          <w:p w14:paraId="5E538973"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1452F022" w14:textId="4CA51269" w:rsidR="00C66D82" w:rsidRDefault="00C66D82">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014CF9" w:rsidRPr="007A0F4A" w14:paraId="17D95A0C"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A86F004" w14:textId="77777777" w:rsidR="00014CF9" w:rsidRPr="007A0F4A" w:rsidRDefault="00014CF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5B29A01" w14:textId="77777777" w:rsidR="00014CF9" w:rsidRPr="007A0F4A" w:rsidRDefault="00014CF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FCAD5F3" w14:textId="77777777" w:rsidR="00014CF9" w:rsidRPr="007A0F4A" w:rsidRDefault="00014CF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37ED752" w14:textId="6CEFA5AF" w:rsidR="00014CF9" w:rsidRPr="007A0F4A" w:rsidRDefault="00BA2D17">
            <w:pPr>
              <w:pStyle w:val="BodyTextNoSpacing"/>
              <w:numPr>
                <w:ilvl w:val="0"/>
                <w:numId w:val="3"/>
              </w:numPr>
              <w:rPr>
                <w:rFonts w:asciiTheme="minorHAnsi" w:hAnsiTheme="minorHAnsi" w:cstheme="minorHAnsi"/>
                <w:bCs/>
                <w:sz w:val="22"/>
                <w:szCs w:val="22"/>
              </w:rPr>
            </w:pPr>
            <w:r>
              <w:t>Do you agree that the reasonable endeavours is appropriate to avoid exceeding a Curtailment Limit, or should best endeavours be used? Please provide your reasons.</w:t>
            </w:r>
          </w:p>
        </w:tc>
        <w:tc>
          <w:tcPr>
            <w:tcW w:w="3752" w:type="dxa"/>
            <w:shd w:val="clear" w:color="auto" w:fill="E2EFD9" w:themeFill="accent6" w:themeFillTint="33"/>
          </w:tcPr>
          <w:p w14:paraId="54172AFF" w14:textId="77777777" w:rsidR="00014CF9" w:rsidRPr="007A0F4A" w:rsidRDefault="00014CF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55FD3524" w14:textId="77777777" w:rsidTr="00576563">
        <w:tc>
          <w:tcPr>
            <w:tcW w:w="1730" w:type="dxa"/>
          </w:tcPr>
          <w:p w14:paraId="4F26C791" w14:textId="6DEC883B"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BU-UK</w:t>
            </w:r>
          </w:p>
        </w:tc>
        <w:tc>
          <w:tcPr>
            <w:tcW w:w="1530" w:type="dxa"/>
          </w:tcPr>
          <w:p w14:paraId="1DC2E3F0"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58AF34FE" w14:textId="729A5FD6"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Reasonable endeavours seems appropriate and fair, as best endeavours leaves more of the onus being put on the distributor which may lead to increased costs for the wider customer base in procurement costs or other actions to avoid exceeding curtailment limits.</w:t>
            </w:r>
          </w:p>
        </w:tc>
        <w:tc>
          <w:tcPr>
            <w:tcW w:w="3752" w:type="dxa"/>
            <w:shd w:val="clear" w:color="auto" w:fill="E2EFD9" w:themeFill="accent6" w:themeFillTint="33"/>
          </w:tcPr>
          <w:p w14:paraId="5490E710"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455F5331" w14:textId="77777777" w:rsidTr="00576563">
        <w:tc>
          <w:tcPr>
            <w:tcW w:w="1730" w:type="dxa"/>
          </w:tcPr>
          <w:p w14:paraId="1DE580DC" w14:textId="10282057"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88D30C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B95B06B" w14:textId="7C34B777" w:rsidR="00CE6D8F" w:rsidRPr="00332B53" w:rsidRDefault="00D07E32"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reasonable endeavours is a standard industry practice and suitable for this.</w:t>
            </w:r>
          </w:p>
        </w:tc>
        <w:tc>
          <w:tcPr>
            <w:tcW w:w="3752" w:type="dxa"/>
            <w:shd w:val="clear" w:color="auto" w:fill="E2EFD9" w:themeFill="accent6" w:themeFillTint="33"/>
          </w:tcPr>
          <w:p w14:paraId="289DB61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5781DF7" w14:textId="77777777" w:rsidTr="00576563">
        <w:tc>
          <w:tcPr>
            <w:tcW w:w="1730" w:type="dxa"/>
          </w:tcPr>
          <w:p w14:paraId="797C9EB2" w14:textId="6E6D5EA7"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CE1169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22D59EE" w14:textId="3ADF388B"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From a contractual perspective, we believe that a best endeavours obligation on network operators is too onerous and could lead to less efficient development of the networks to the detriment of customers generally.</w:t>
            </w:r>
          </w:p>
        </w:tc>
        <w:tc>
          <w:tcPr>
            <w:tcW w:w="3752" w:type="dxa"/>
            <w:shd w:val="clear" w:color="auto" w:fill="E2EFD9" w:themeFill="accent6" w:themeFillTint="33"/>
          </w:tcPr>
          <w:p w14:paraId="40DFD195"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190853A6" w14:textId="77777777" w:rsidTr="00576563">
        <w:tc>
          <w:tcPr>
            <w:tcW w:w="1730" w:type="dxa"/>
          </w:tcPr>
          <w:p w14:paraId="7FD6E95B" w14:textId="74D51D9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2C34D0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96FFBCF" w14:textId="2DAE9992" w:rsidR="00CE6D8F" w:rsidRPr="00332B53" w:rsidRDefault="00E25A06"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a reasonable endeavours basis is the better choice.</w:t>
            </w:r>
          </w:p>
        </w:tc>
        <w:tc>
          <w:tcPr>
            <w:tcW w:w="3752" w:type="dxa"/>
            <w:shd w:val="clear" w:color="auto" w:fill="E2EFD9" w:themeFill="accent6" w:themeFillTint="33"/>
          </w:tcPr>
          <w:p w14:paraId="681C196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8147977" w14:textId="77777777" w:rsidTr="00576563">
        <w:tc>
          <w:tcPr>
            <w:tcW w:w="1730" w:type="dxa"/>
          </w:tcPr>
          <w:p w14:paraId="3E71CBD1" w14:textId="2EDCD324"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2EA4D61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4B5D693" w14:textId="094B93AB" w:rsidR="00CE6D8F" w:rsidRPr="00332B53" w:rsidRDefault="001A138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a reasonable endeavours basis is prudent.</w:t>
            </w:r>
          </w:p>
        </w:tc>
        <w:tc>
          <w:tcPr>
            <w:tcW w:w="3752" w:type="dxa"/>
            <w:shd w:val="clear" w:color="auto" w:fill="E2EFD9" w:themeFill="accent6" w:themeFillTint="33"/>
          </w:tcPr>
          <w:p w14:paraId="4EF56AF1"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3E7BA6A" w14:textId="77777777" w:rsidTr="00576563">
        <w:tc>
          <w:tcPr>
            <w:tcW w:w="1730" w:type="dxa"/>
          </w:tcPr>
          <w:p w14:paraId="622E94BD" w14:textId="689CE93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300D0CA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FABFF8B" w14:textId="3928C005" w:rsidR="00CE6D8F" w:rsidRPr="00332B53" w:rsidRDefault="00A964B9"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use of reasonable endeavours, because the proposed methodology for calculating the Curtailment Limit is new and is necessarily simplified to ensure a consistent application.</w:t>
            </w:r>
          </w:p>
        </w:tc>
        <w:tc>
          <w:tcPr>
            <w:tcW w:w="3752" w:type="dxa"/>
            <w:shd w:val="clear" w:color="auto" w:fill="E2EFD9" w:themeFill="accent6" w:themeFillTint="33"/>
          </w:tcPr>
          <w:p w14:paraId="04776844"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EDDC3BA" w14:textId="77777777" w:rsidTr="00576563">
        <w:tc>
          <w:tcPr>
            <w:tcW w:w="1730" w:type="dxa"/>
          </w:tcPr>
          <w:p w14:paraId="463C6C4B" w14:textId="66ABB45A"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1713506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CE08728"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comfortable that either best endeavours or all reasonable endeavours is appropriate so are</w:t>
            </w:r>
          </w:p>
          <w:p w14:paraId="6CADCBB1"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not concerned with the final outcome. However, it is important that DNOs can openly demonstrate</w:t>
            </w:r>
          </w:p>
          <w:p w14:paraId="626C2E0C"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that they have taken all steps to avoid exceeding the Curtailment Limit. We propose that this too is</w:t>
            </w:r>
          </w:p>
          <w:p w14:paraId="6B2F8029"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reported to customers quarterly to give reassurance that DNOs are exhausting options to procure</w:t>
            </w:r>
          </w:p>
          <w:p w14:paraId="1854A420"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flexibility services or to provide necessary capacity before they have no other option but to curtail</w:t>
            </w:r>
          </w:p>
          <w:p w14:paraId="5AFFC952" w14:textId="02292397" w:rsidR="00CE6D8F"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customers.</w:t>
            </w:r>
          </w:p>
        </w:tc>
        <w:tc>
          <w:tcPr>
            <w:tcW w:w="3752" w:type="dxa"/>
            <w:shd w:val="clear" w:color="auto" w:fill="E2EFD9" w:themeFill="accent6" w:themeFillTint="33"/>
          </w:tcPr>
          <w:p w14:paraId="21DB231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F30AA15" w14:textId="77777777" w:rsidTr="00576563">
        <w:tc>
          <w:tcPr>
            <w:tcW w:w="1730" w:type="dxa"/>
          </w:tcPr>
          <w:p w14:paraId="0DAAEDB5" w14:textId="6432C49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716E018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43CC061" w14:textId="70C81C7E" w:rsidR="00CE6D8F" w:rsidRPr="00332B53" w:rsidRDefault="001F67D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Reasonable endeavours are appropriate.</w:t>
            </w:r>
          </w:p>
        </w:tc>
        <w:tc>
          <w:tcPr>
            <w:tcW w:w="3752" w:type="dxa"/>
            <w:shd w:val="clear" w:color="auto" w:fill="E2EFD9" w:themeFill="accent6" w:themeFillTint="33"/>
          </w:tcPr>
          <w:p w14:paraId="49AD0F4C"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3662D60" w14:textId="77777777" w:rsidTr="00576563">
        <w:tc>
          <w:tcPr>
            <w:tcW w:w="1730" w:type="dxa"/>
          </w:tcPr>
          <w:p w14:paraId="086036EF" w14:textId="077294CB"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6E28279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584CC77" w14:textId="1C0065FA"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Reasonable endeavours </w:t>
            </w:r>
            <w:proofErr w:type="gramStart"/>
            <w:r w:rsidRPr="00332B53">
              <w:rPr>
                <w:rFonts w:asciiTheme="minorHAnsi" w:hAnsiTheme="minorHAnsi" w:cstheme="minorHAnsi"/>
                <w:bCs/>
                <w:sz w:val="22"/>
                <w:szCs w:val="22"/>
                <w:lang w:val="en-GB"/>
              </w:rPr>
              <w:t>is</w:t>
            </w:r>
            <w:proofErr w:type="gramEnd"/>
            <w:r w:rsidRPr="00332B53">
              <w:rPr>
                <w:rFonts w:asciiTheme="minorHAnsi" w:hAnsiTheme="minorHAnsi" w:cstheme="minorHAnsi"/>
                <w:bCs/>
                <w:sz w:val="22"/>
                <w:szCs w:val="22"/>
                <w:lang w:val="en-GB"/>
              </w:rPr>
              <w:t xml:space="preserve"> appropriate, as long as the Exceeded Curtailment Price is sufficiently high to act as a strong disincentive on DNOs and support the ‘reasonable’ endeavours obligation.</w:t>
            </w:r>
          </w:p>
        </w:tc>
        <w:tc>
          <w:tcPr>
            <w:tcW w:w="3752" w:type="dxa"/>
            <w:shd w:val="clear" w:color="auto" w:fill="E2EFD9" w:themeFill="accent6" w:themeFillTint="33"/>
          </w:tcPr>
          <w:p w14:paraId="22A4B2A5"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0BF522C0" w14:textId="77777777" w:rsidTr="00576563">
        <w:tc>
          <w:tcPr>
            <w:tcW w:w="1730" w:type="dxa"/>
          </w:tcPr>
          <w:p w14:paraId="54EE608F" w14:textId="51C2E37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7FB27D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93521ED" w14:textId="3797707F" w:rsidR="00CE6D8F" w:rsidRPr="00332B53" w:rsidRDefault="000C6C27"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reasonable endeavours is appropriate.</w:t>
            </w:r>
          </w:p>
        </w:tc>
        <w:tc>
          <w:tcPr>
            <w:tcW w:w="3752" w:type="dxa"/>
            <w:shd w:val="clear" w:color="auto" w:fill="E2EFD9" w:themeFill="accent6" w:themeFillTint="33"/>
          </w:tcPr>
          <w:p w14:paraId="6663565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CC2F743" w14:textId="77777777" w:rsidTr="00576563">
        <w:tc>
          <w:tcPr>
            <w:tcW w:w="1730" w:type="dxa"/>
          </w:tcPr>
          <w:p w14:paraId="37C657F5" w14:textId="3C9C72F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F29202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2D33408"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that a ‘reasonable endeavours’ approach is appropriate in terms of</w:t>
            </w:r>
          </w:p>
          <w:p w14:paraId="1B7FEE93"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a) distributors avoiding the need to curtail a customer above their agreed limit; and</w:t>
            </w:r>
          </w:p>
          <w:p w14:paraId="77C36350" w14:textId="15F044D0" w:rsidR="00CE6D8F"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b) distributors notifying a customer in advance if they believe that they will need to exceed the curtailment limit. However, in terms of the latter, this is appropriate only if a further provision is added to the effect that if a distributor fails to notify the customer in advance, they must make </w:t>
            </w:r>
            <w:r w:rsidRPr="00332B53">
              <w:rPr>
                <w:rFonts w:asciiTheme="minorHAnsi" w:hAnsiTheme="minorHAnsi" w:cstheme="minorHAnsi"/>
                <w:bCs/>
                <w:sz w:val="22"/>
                <w:szCs w:val="22"/>
              </w:rPr>
              <w:lastRenderedPageBreak/>
              <w:t>reasonable endeavours to notify the customer as soon as possible after the event.</w:t>
            </w:r>
          </w:p>
        </w:tc>
        <w:tc>
          <w:tcPr>
            <w:tcW w:w="3752" w:type="dxa"/>
            <w:shd w:val="clear" w:color="auto" w:fill="E2EFD9" w:themeFill="accent6" w:themeFillTint="33"/>
          </w:tcPr>
          <w:p w14:paraId="1DC5EA87"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42CADD4" w14:textId="77777777" w:rsidTr="00576563">
        <w:tc>
          <w:tcPr>
            <w:tcW w:w="1730" w:type="dxa"/>
          </w:tcPr>
          <w:p w14:paraId="6054C8A5" w14:textId="58F4474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2FA2446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F26CA74" w14:textId="5C9FE44D"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Under these arrangements curtailment limits will be set so that customers are given a clear indication of the level of access they can be expect when connecting earlier than would otherwise be possible when network reinforcement is required.  Exceeding this limit will trigger an exceeded capacity payment set at a level to disincentivise this outcome.  It is right that DNOs act with 'reasonable endeavours' to avoid excess curtailment; however adopting a more stringent requirement of 'best endeavours' risks distorting efficient network investment to the detriment of other customers.</w:t>
            </w:r>
          </w:p>
        </w:tc>
        <w:tc>
          <w:tcPr>
            <w:tcW w:w="3752" w:type="dxa"/>
            <w:shd w:val="clear" w:color="auto" w:fill="E2EFD9" w:themeFill="accent6" w:themeFillTint="33"/>
          </w:tcPr>
          <w:p w14:paraId="0E31B65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01FC2974" w14:textId="77777777" w:rsidTr="00576563">
        <w:tc>
          <w:tcPr>
            <w:tcW w:w="1730" w:type="dxa"/>
          </w:tcPr>
          <w:p w14:paraId="129494CD" w14:textId="2E60245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91D381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55DD7BD"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reasonable endeavours is appropriate. There are already strong obligations and incentives on network companies to take steps to avoid curtailment above the limit:</w:t>
            </w:r>
          </w:p>
          <w:p w14:paraId="6C2A48B2"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 Any physical network solution is already likely to be in progress to meet the customers full capacity by the curtailment end date included in their Connection Agreement</w:t>
            </w:r>
          </w:p>
          <w:p w14:paraId="2D33C91B"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 Network companies are already under obligation to procure flexibility where efficient to do so under Standard Licence Condition 31E (SLC 31E).</w:t>
            </w:r>
          </w:p>
          <w:p w14:paraId="683777E2" w14:textId="77777777" w:rsidR="00CE6D8F"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 An appropriately set Exceeded Curtailment Price (see our response to Question 13) will continue to incentivise network companies to seek alternative solutions rather than pay the Exceeded Curtailment Price from curtailment beyond the agreed limit</w:t>
            </w:r>
          </w:p>
          <w:p w14:paraId="20FEA0DB" w14:textId="65B876F5"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A further obligation of best endeavours with its very onerous requirements is not necessary in these circumstances.</w:t>
            </w:r>
          </w:p>
        </w:tc>
        <w:tc>
          <w:tcPr>
            <w:tcW w:w="3752" w:type="dxa"/>
            <w:shd w:val="clear" w:color="auto" w:fill="E2EFD9" w:themeFill="accent6" w:themeFillTint="33"/>
          </w:tcPr>
          <w:p w14:paraId="636DAFBF"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44A71F0" w14:textId="77777777" w:rsidTr="00576563">
        <w:tc>
          <w:tcPr>
            <w:tcW w:w="1730" w:type="dxa"/>
          </w:tcPr>
          <w:p w14:paraId="16AB2C8F" w14:textId="395E4557"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3FD9334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A920A83" w14:textId="665355D9" w:rsidR="00CE6D8F" w:rsidRPr="00332B53" w:rsidRDefault="00FC694B" w:rsidP="00FC694B">
            <w:pPr>
              <w:rPr>
                <w:rFonts w:asciiTheme="minorHAnsi" w:hAnsiTheme="minorHAnsi" w:cstheme="minorHAnsi"/>
                <w:bCs/>
                <w:sz w:val="22"/>
                <w:szCs w:val="22"/>
              </w:rPr>
            </w:pPr>
            <w:r w:rsidRPr="00332B53">
              <w:rPr>
                <w:rFonts w:asciiTheme="minorHAnsi" w:hAnsiTheme="minorHAnsi" w:cstheme="minorHAnsi"/>
                <w:bCs/>
                <w:sz w:val="22"/>
                <w:szCs w:val="22"/>
              </w:rPr>
              <w:t>Reasonable endeavours is appropriate and should be used. This is within the context that the network should not be damaged by allowing a site to not be curtailed, especially if flexibility options aren’t available in that area. Best endeavours may require a DNO to sacrifice some of its own commercial interest and unnecessarily put their network at risk to avoid a loss of revenue.</w:t>
            </w:r>
          </w:p>
        </w:tc>
        <w:tc>
          <w:tcPr>
            <w:tcW w:w="3752" w:type="dxa"/>
            <w:shd w:val="clear" w:color="auto" w:fill="E2EFD9" w:themeFill="accent6" w:themeFillTint="33"/>
          </w:tcPr>
          <w:p w14:paraId="1FA9E888"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46B320DA" w14:textId="77777777" w:rsidTr="00576563">
        <w:tc>
          <w:tcPr>
            <w:tcW w:w="14081" w:type="dxa"/>
            <w:gridSpan w:val="4"/>
            <w:shd w:val="clear" w:color="auto" w:fill="E2EFD9" w:themeFill="accent6" w:themeFillTint="33"/>
          </w:tcPr>
          <w:p w14:paraId="21E76FA7"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73C01232" w14:textId="05A7D885" w:rsidR="00014CF9" w:rsidRDefault="00014CF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BA2D17" w:rsidRPr="007A0F4A" w14:paraId="7EAD948B"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E13EC2" w14:textId="77777777" w:rsidR="00BA2D17" w:rsidRPr="007A0F4A" w:rsidRDefault="00BA2D1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6318BA5" w14:textId="77777777" w:rsidR="00BA2D17" w:rsidRPr="007A0F4A" w:rsidRDefault="00BA2D1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5C6F362" w14:textId="77777777" w:rsidR="00BA2D17" w:rsidRPr="007A0F4A" w:rsidRDefault="00BA2D1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C73EA84" w14:textId="3B58A223" w:rsidR="00BA2D17" w:rsidRPr="007A0F4A" w:rsidRDefault="002E69DF">
            <w:pPr>
              <w:pStyle w:val="BodyTextNoSpacing"/>
              <w:numPr>
                <w:ilvl w:val="0"/>
                <w:numId w:val="3"/>
              </w:numPr>
              <w:rPr>
                <w:rFonts w:asciiTheme="minorHAnsi" w:hAnsiTheme="minorHAnsi" w:cstheme="minorHAnsi"/>
                <w:bCs/>
                <w:sz w:val="22"/>
                <w:szCs w:val="22"/>
              </w:rPr>
            </w:pPr>
            <w:r>
              <w:t>Do you agree with the proposed approach to utilising tendered (but not contracted) prices for Distribution Flexibility Services, which is additional to the Access SCR Direction requirements? If not, please provide your reasons why.</w:t>
            </w:r>
          </w:p>
        </w:tc>
        <w:tc>
          <w:tcPr>
            <w:tcW w:w="3752" w:type="dxa"/>
            <w:shd w:val="clear" w:color="auto" w:fill="E2EFD9" w:themeFill="accent6" w:themeFillTint="33"/>
          </w:tcPr>
          <w:p w14:paraId="15F8A3B8" w14:textId="77777777" w:rsidR="00BA2D17" w:rsidRPr="007A0F4A" w:rsidRDefault="00BA2D17"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6042A81D" w14:textId="77777777" w:rsidTr="00576563">
        <w:tc>
          <w:tcPr>
            <w:tcW w:w="1730" w:type="dxa"/>
          </w:tcPr>
          <w:p w14:paraId="539C4861" w14:textId="783850B3"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D919EB6"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6826E0E" w14:textId="7B2A0D11"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that the use of tendered prices would currently provide a better indication of the ceiling which a DNO is prepared to pay. We think that, when flexibility markets are more liquid, this may need to be reconsidered.</w:t>
            </w:r>
          </w:p>
        </w:tc>
        <w:tc>
          <w:tcPr>
            <w:tcW w:w="3752" w:type="dxa"/>
            <w:shd w:val="clear" w:color="auto" w:fill="E2EFD9" w:themeFill="accent6" w:themeFillTint="33"/>
          </w:tcPr>
          <w:p w14:paraId="14C4E2EF" w14:textId="77777777" w:rsidR="00895CE0" w:rsidRPr="00332B53" w:rsidRDefault="00895CE0" w:rsidP="00576563">
            <w:pPr>
              <w:pStyle w:val="BodyText"/>
              <w:rPr>
                <w:rFonts w:asciiTheme="minorHAnsi" w:hAnsiTheme="minorHAnsi" w:cstheme="minorHAnsi"/>
                <w:bCs/>
                <w:sz w:val="22"/>
                <w:szCs w:val="22"/>
              </w:rPr>
            </w:pPr>
          </w:p>
        </w:tc>
      </w:tr>
      <w:tr w:rsidR="00CE6D8F" w:rsidRPr="00332B53" w14:paraId="08FEB060" w14:textId="77777777" w:rsidTr="00576563">
        <w:tc>
          <w:tcPr>
            <w:tcW w:w="1730" w:type="dxa"/>
          </w:tcPr>
          <w:p w14:paraId="07D61D58" w14:textId="679ABE2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C30809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BC2604C" w14:textId="02EB79AC" w:rsidR="00CE6D8F" w:rsidRPr="00332B53" w:rsidRDefault="00D07E32"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it is more appropriate than contracted prices.</w:t>
            </w:r>
          </w:p>
        </w:tc>
        <w:tc>
          <w:tcPr>
            <w:tcW w:w="3752" w:type="dxa"/>
            <w:shd w:val="clear" w:color="auto" w:fill="E2EFD9" w:themeFill="accent6" w:themeFillTint="33"/>
          </w:tcPr>
          <w:p w14:paraId="5AF520F8"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71FA242B" w14:textId="77777777" w:rsidTr="00576563">
        <w:tc>
          <w:tcPr>
            <w:tcW w:w="1730" w:type="dxa"/>
          </w:tcPr>
          <w:p w14:paraId="0A945255" w14:textId="367CD92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77272D6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5053D1B" w14:textId="4FF0C860"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Yes, we agree with the proposed approach as the DNOs use the Common Evaluation Methodology Tool to calculate the guide or ceiling price issued as part of the tender process. The guide/ceiling price indicates the price below </w:t>
            </w:r>
            <w:r w:rsidRPr="00332B53">
              <w:rPr>
                <w:rFonts w:asciiTheme="minorHAnsi" w:hAnsiTheme="minorHAnsi" w:cstheme="minorHAnsi"/>
                <w:bCs/>
                <w:sz w:val="22"/>
                <w:szCs w:val="22"/>
              </w:rPr>
              <w:lastRenderedPageBreak/>
              <w:t>which DNOs would be unwilling to purchase flexibility services as it is the price point below which the use of flexibility is economically inefficient and not value for money for customers. The use of this approach is necessary until the market matures and price competition exists; at which point using the contracted price may be more appropriate. But DNOs will still need to confirm through the use of the Common Evaluation Methodology (or an equivalent CBA) that the purchase of flexibility services at that price is still an economically efficient solution.</w:t>
            </w:r>
          </w:p>
        </w:tc>
        <w:tc>
          <w:tcPr>
            <w:tcW w:w="3752" w:type="dxa"/>
            <w:shd w:val="clear" w:color="auto" w:fill="E2EFD9" w:themeFill="accent6" w:themeFillTint="33"/>
          </w:tcPr>
          <w:p w14:paraId="2505FE51"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63F48209" w14:textId="77777777" w:rsidTr="00576563">
        <w:tc>
          <w:tcPr>
            <w:tcW w:w="1730" w:type="dxa"/>
          </w:tcPr>
          <w:p w14:paraId="2AC4D5F8" w14:textId="6EA4370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C51439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49AD00C" w14:textId="77445703" w:rsidR="00CE6D8F" w:rsidRPr="00332B53" w:rsidRDefault="00E25A06"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22C2E2F"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11ECC083" w14:textId="77777777" w:rsidTr="00576563">
        <w:tc>
          <w:tcPr>
            <w:tcW w:w="1730" w:type="dxa"/>
          </w:tcPr>
          <w:p w14:paraId="4D3004FD" w14:textId="2CDF599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463C3128"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E369DCE" w14:textId="513FCDA0" w:rsidR="00CE6D8F" w:rsidRPr="00332B53" w:rsidRDefault="001A138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allows for consideration of prices in nascent markets.</w:t>
            </w:r>
          </w:p>
        </w:tc>
        <w:tc>
          <w:tcPr>
            <w:tcW w:w="3752" w:type="dxa"/>
            <w:shd w:val="clear" w:color="auto" w:fill="E2EFD9" w:themeFill="accent6" w:themeFillTint="33"/>
          </w:tcPr>
          <w:p w14:paraId="6050AC3E"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3E02747" w14:textId="77777777" w:rsidTr="00576563">
        <w:tc>
          <w:tcPr>
            <w:tcW w:w="1730" w:type="dxa"/>
          </w:tcPr>
          <w:p w14:paraId="39E0A584" w14:textId="0F7DA8B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7A3A892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2AB781A" w14:textId="001B0326" w:rsidR="00CE6D8F" w:rsidRPr="00332B53" w:rsidRDefault="00A964B9"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72B5170"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9D5DF4B" w14:textId="77777777" w:rsidTr="00576563">
        <w:tc>
          <w:tcPr>
            <w:tcW w:w="1730" w:type="dxa"/>
          </w:tcPr>
          <w:p w14:paraId="3F3E9FBC" w14:textId="62BD3AC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082D43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F52CDAC"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From our reading of the legal text, we understood that the highest tendered utilisation price would</w:t>
            </w:r>
          </w:p>
          <w:p w14:paraId="46A90A56"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only be used when the DNO has not contracted any flexibility services in the previous two regulatory</w:t>
            </w:r>
          </w:p>
          <w:p w14:paraId="5DFE70B0"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years. If this is, in fact, the intention then we agree with the proposed methodology but where</w:t>
            </w:r>
          </w:p>
          <w:p w14:paraId="16148240" w14:textId="0535FBEA" w:rsidR="00CE6D8F"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tendered prices are available this information should take precedence.</w:t>
            </w:r>
          </w:p>
        </w:tc>
        <w:tc>
          <w:tcPr>
            <w:tcW w:w="3752" w:type="dxa"/>
            <w:shd w:val="clear" w:color="auto" w:fill="E2EFD9" w:themeFill="accent6" w:themeFillTint="33"/>
          </w:tcPr>
          <w:p w14:paraId="2BD5882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D3DA87F" w14:textId="77777777" w:rsidTr="00576563">
        <w:tc>
          <w:tcPr>
            <w:tcW w:w="1730" w:type="dxa"/>
          </w:tcPr>
          <w:p w14:paraId="1BF784F0" w14:textId="1085ECFF"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1B3A35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38CE969" w14:textId="0E7500FB" w:rsidR="00CE6D8F" w:rsidRPr="00332B53" w:rsidRDefault="001F67D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FE34793"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79236FE" w14:textId="77777777" w:rsidTr="00576563">
        <w:tc>
          <w:tcPr>
            <w:tcW w:w="1730" w:type="dxa"/>
          </w:tcPr>
          <w:p w14:paraId="64289C5E" w14:textId="778ED9A0"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0503B65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A77DD0E" w14:textId="092C4FA5"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Tendered ceiling prices should be included, as they are representative of the price the DNO would be willing to pay, if the consumer were to ‘willingly’ offer the flexibility that the DNOs are ‘taking’ by exceeding the curtailment limit. Using all available prices will better reflect the direction that the price should be ‘markedly’ higher and not using tendered prices could cause distortions in developing flexibility markets.</w:t>
            </w:r>
          </w:p>
        </w:tc>
        <w:tc>
          <w:tcPr>
            <w:tcW w:w="3752" w:type="dxa"/>
            <w:shd w:val="clear" w:color="auto" w:fill="E2EFD9" w:themeFill="accent6" w:themeFillTint="33"/>
          </w:tcPr>
          <w:p w14:paraId="63686908" w14:textId="77777777" w:rsidR="00CE6D8F" w:rsidRPr="00332B53" w:rsidRDefault="00CE6D8F" w:rsidP="00CE6D8F">
            <w:pPr>
              <w:pStyle w:val="BodyText"/>
              <w:rPr>
                <w:rFonts w:asciiTheme="minorHAnsi" w:hAnsiTheme="minorHAnsi" w:cstheme="minorHAnsi"/>
                <w:bCs/>
                <w:sz w:val="22"/>
                <w:szCs w:val="22"/>
                <w:lang w:val="en-GB"/>
              </w:rPr>
            </w:pPr>
          </w:p>
        </w:tc>
      </w:tr>
      <w:tr w:rsidR="00CE6D8F" w:rsidRPr="00332B53" w14:paraId="53F293A1" w14:textId="77777777" w:rsidTr="00576563">
        <w:tc>
          <w:tcPr>
            <w:tcW w:w="1730" w:type="dxa"/>
          </w:tcPr>
          <w:p w14:paraId="22D79BAC" w14:textId="3E3FD5E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447BE4C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003C70F" w14:textId="39E9CDED" w:rsidR="00CE6D8F" w:rsidRPr="00332B53" w:rsidRDefault="000C6C27"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this is appropriate due to the stage of the emerging Distribution Flexibility market.</w:t>
            </w:r>
          </w:p>
        </w:tc>
        <w:tc>
          <w:tcPr>
            <w:tcW w:w="3752" w:type="dxa"/>
            <w:shd w:val="clear" w:color="auto" w:fill="E2EFD9" w:themeFill="accent6" w:themeFillTint="33"/>
          </w:tcPr>
          <w:p w14:paraId="0BF8697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538E130D" w14:textId="77777777" w:rsidTr="00576563">
        <w:tc>
          <w:tcPr>
            <w:tcW w:w="1730" w:type="dxa"/>
          </w:tcPr>
          <w:p w14:paraId="001FE742" w14:textId="31FE8FE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62F7781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6E1D906"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the proposal includes this additional provision which is not included in Ofgem’s Directions. We understand that this is in recognition of the fact that flexibility markets are at an early stage of development and contracted prices may not always be available but using tendered prices would give a good indication of the prices a DNO would be prepared to pay.</w:t>
            </w:r>
          </w:p>
          <w:p w14:paraId="4AC7BFA9" w14:textId="614FA786" w:rsidR="00CE6D8F"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expect that as these markets develop, more distributors will be able to provide contracted prices. As such, we see the inclusion of tendered prices as a transitional measure. For the avoidance of doubt, and in accordance with the work of the Energy Data Taskforce (see Question 33 below), it is important to codify that the tendered prices are published by the DNO so that all stakeholders have sight of it. Therefore, we propose that the template at Appendix A of the draft legal text is amended to add fields specifically for distributors’ data on tendered prices if contracted prices are not available.</w:t>
            </w:r>
          </w:p>
        </w:tc>
        <w:tc>
          <w:tcPr>
            <w:tcW w:w="3752" w:type="dxa"/>
            <w:shd w:val="clear" w:color="auto" w:fill="E2EFD9" w:themeFill="accent6" w:themeFillTint="33"/>
          </w:tcPr>
          <w:p w14:paraId="6C10976D"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4B512ED8" w14:textId="77777777" w:rsidTr="00576563">
        <w:tc>
          <w:tcPr>
            <w:tcW w:w="1730" w:type="dxa"/>
          </w:tcPr>
          <w:p w14:paraId="1524E12A" w14:textId="0DE2A014"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42DED0A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8F6E8E2" w14:textId="528D822E"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is a reasonable reference point should the situation occur where the DNO has no other curtailment contracts in operation.</w:t>
            </w:r>
          </w:p>
        </w:tc>
        <w:tc>
          <w:tcPr>
            <w:tcW w:w="3752" w:type="dxa"/>
            <w:shd w:val="clear" w:color="auto" w:fill="E2EFD9" w:themeFill="accent6" w:themeFillTint="33"/>
          </w:tcPr>
          <w:p w14:paraId="335126FB"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2909C69A" w14:textId="77777777" w:rsidTr="00576563">
        <w:tc>
          <w:tcPr>
            <w:tcW w:w="1730" w:type="dxa"/>
          </w:tcPr>
          <w:p w14:paraId="590072B3" w14:textId="4A23E3F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UKPN</w:t>
            </w:r>
          </w:p>
        </w:tc>
        <w:tc>
          <w:tcPr>
            <w:tcW w:w="1530" w:type="dxa"/>
          </w:tcPr>
          <w:p w14:paraId="013D15D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F7AD622" w14:textId="1C071822"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can use tendered prices in the absence of contracted prices.</w:t>
            </w:r>
          </w:p>
        </w:tc>
        <w:tc>
          <w:tcPr>
            <w:tcW w:w="3752" w:type="dxa"/>
            <w:shd w:val="clear" w:color="auto" w:fill="E2EFD9" w:themeFill="accent6" w:themeFillTint="33"/>
          </w:tcPr>
          <w:p w14:paraId="46759CB6" w14:textId="77777777" w:rsidR="00CE6D8F" w:rsidRPr="00332B53" w:rsidRDefault="00CE6D8F" w:rsidP="00CE6D8F">
            <w:pPr>
              <w:pStyle w:val="BodyText"/>
              <w:rPr>
                <w:rFonts w:asciiTheme="minorHAnsi" w:hAnsiTheme="minorHAnsi" w:cstheme="minorHAnsi"/>
                <w:bCs/>
                <w:sz w:val="22"/>
                <w:szCs w:val="22"/>
              </w:rPr>
            </w:pPr>
          </w:p>
        </w:tc>
      </w:tr>
      <w:tr w:rsidR="00CE6D8F" w:rsidRPr="00332B53" w14:paraId="3F1B5112" w14:textId="77777777" w:rsidTr="00576563">
        <w:tc>
          <w:tcPr>
            <w:tcW w:w="1730" w:type="dxa"/>
          </w:tcPr>
          <w:p w14:paraId="37DA2CF0" w14:textId="5DEDB6F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7FAC5C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A8183C2" w14:textId="0B69F620"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this approach.</w:t>
            </w:r>
          </w:p>
        </w:tc>
        <w:tc>
          <w:tcPr>
            <w:tcW w:w="3752" w:type="dxa"/>
            <w:shd w:val="clear" w:color="auto" w:fill="E2EFD9" w:themeFill="accent6" w:themeFillTint="33"/>
          </w:tcPr>
          <w:p w14:paraId="55A892F9" w14:textId="77777777" w:rsidR="00CE6D8F" w:rsidRPr="00332B53" w:rsidRDefault="00CE6D8F" w:rsidP="00CE6D8F">
            <w:pPr>
              <w:pStyle w:val="BodyText"/>
              <w:rPr>
                <w:rFonts w:asciiTheme="minorHAnsi" w:hAnsiTheme="minorHAnsi" w:cstheme="minorHAnsi"/>
                <w:bCs/>
                <w:sz w:val="22"/>
                <w:szCs w:val="22"/>
              </w:rPr>
            </w:pPr>
          </w:p>
        </w:tc>
      </w:tr>
      <w:tr w:rsidR="00CE6D8F" w:rsidRPr="007A0F4A" w14:paraId="6619932F" w14:textId="77777777" w:rsidTr="00576563">
        <w:tc>
          <w:tcPr>
            <w:tcW w:w="14081" w:type="dxa"/>
            <w:gridSpan w:val="4"/>
            <w:shd w:val="clear" w:color="auto" w:fill="E2EFD9" w:themeFill="accent6" w:themeFillTint="33"/>
          </w:tcPr>
          <w:p w14:paraId="7F547501"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132A252F" w14:textId="0EC91557" w:rsidR="00BA2D17" w:rsidRDefault="00BA2D17">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2E69DF" w:rsidRPr="007A0F4A" w14:paraId="5A69F161"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3D6BAE7" w14:textId="77777777" w:rsidR="002E69DF" w:rsidRPr="007A0F4A" w:rsidRDefault="002E69DF"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FCCF347" w14:textId="77777777" w:rsidR="002E69DF" w:rsidRPr="007A0F4A" w:rsidRDefault="002E69DF"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49DCFF2" w14:textId="77777777" w:rsidR="002E69DF" w:rsidRPr="007A0F4A" w:rsidRDefault="002E69DF"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53F58FF" w14:textId="1758894B" w:rsidR="002E69DF" w:rsidRPr="007A0F4A" w:rsidRDefault="009024D7">
            <w:pPr>
              <w:pStyle w:val="BodyTextNoSpacing"/>
              <w:numPr>
                <w:ilvl w:val="0"/>
                <w:numId w:val="3"/>
              </w:numPr>
              <w:rPr>
                <w:rFonts w:asciiTheme="minorHAnsi" w:hAnsiTheme="minorHAnsi" w:cstheme="minorHAnsi"/>
                <w:bCs/>
                <w:sz w:val="22"/>
                <w:szCs w:val="22"/>
              </w:rPr>
            </w:pPr>
            <w:r>
              <w:t>Do you agree with the methodology for setting the Exceeded Curtailment Price? If not, please give your reasons.</w:t>
            </w:r>
          </w:p>
        </w:tc>
        <w:tc>
          <w:tcPr>
            <w:tcW w:w="3752" w:type="dxa"/>
            <w:shd w:val="clear" w:color="auto" w:fill="E2EFD9" w:themeFill="accent6" w:themeFillTint="33"/>
          </w:tcPr>
          <w:p w14:paraId="2A45FF90" w14:textId="77777777" w:rsidR="002E69DF" w:rsidRPr="007A0F4A" w:rsidRDefault="002E69DF"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7A0F4A" w14:paraId="2C37DB3A" w14:textId="77777777" w:rsidTr="00576563">
        <w:tc>
          <w:tcPr>
            <w:tcW w:w="1730" w:type="dxa"/>
          </w:tcPr>
          <w:p w14:paraId="48926200" w14:textId="75E20381"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2C669A6"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0CFE25F" w14:textId="08A841E5"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22BFA8D" w14:textId="77777777" w:rsidR="00895CE0" w:rsidRPr="003233BA" w:rsidRDefault="00895CE0" w:rsidP="00576563">
            <w:pPr>
              <w:pStyle w:val="BodyText"/>
              <w:rPr>
                <w:rFonts w:cstheme="minorHAnsi"/>
                <w:bCs/>
              </w:rPr>
            </w:pPr>
          </w:p>
        </w:tc>
      </w:tr>
      <w:tr w:rsidR="00CE6D8F" w:rsidRPr="007A0F4A" w14:paraId="3C0B1F7F" w14:textId="77777777" w:rsidTr="00576563">
        <w:tc>
          <w:tcPr>
            <w:tcW w:w="1730" w:type="dxa"/>
          </w:tcPr>
          <w:p w14:paraId="399D31FD" w14:textId="1854741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5E937F1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B7E85F1" w14:textId="3C4B2E51" w:rsidR="00CE6D8F" w:rsidRPr="00332B53" w:rsidRDefault="00D07E32"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FE5556E" w14:textId="77777777" w:rsidR="00CE6D8F" w:rsidRPr="003233BA" w:rsidRDefault="00CE6D8F" w:rsidP="00CE6D8F">
            <w:pPr>
              <w:pStyle w:val="BodyText"/>
              <w:rPr>
                <w:rFonts w:cstheme="minorHAnsi"/>
                <w:bCs/>
              </w:rPr>
            </w:pPr>
          </w:p>
        </w:tc>
      </w:tr>
      <w:tr w:rsidR="00CE6D8F" w:rsidRPr="007A0F4A" w14:paraId="7BF2A596" w14:textId="77777777" w:rsidTr="00576563">
        <w:tc>
          <w:tcPr>
            <w:tcW w:w="1730" w:type="dxa"/>
          </w:tcPr>
          <w:p w14:paraId="400161D6" w14:textId="7AF5A8F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1013254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98A337E" w14:textId="17B95275"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is consistent with the principles set out in the direction.</w:t>
            </w:r>
          </w:p>
        </w:tc>
        <w:tc>
          <w:tcPr>
            <w:tcW w:w="3752" w:type="dxa"/>
            <w:shd w:val="clear" w:color="auto" w:fill="E2EFD9" w:themeFill="accent6" w:themeFillTint="33"/>
          </w:tcPr>
          <w:p w14:paraId="55E637AC" w14:textId="77777777" w:rsidR="00CE6D8F" w:rsidRPr="003233BA" w:rsidRDefault="00CE6D8F" w:rsidP="00CE6D8F">
            <w:pPr>
              <w:pStyle w:val="BodyText"/>
              <w:rPr>
                <w:rFonts w:cstheme="minorHAnsi"/>
                <w:bCs/>
              </w:rPr>
            </w:pPr>
          </w:p>
        </w:tc>
      </w:tr>
      <w:tr w:rsidR="00CE6D8F" w:rsidRPr="007A0F4A" w14:paraId="31AE46CB" w14:textId="77777777" w:rsidTr="00576563">
        <w:tc>
          <w:tcPr>
            <w:tcW w:w="1730" w:type="dxa"/>
          </w:tcPr>
          <w:p w14:paraId="0816F4E4" w14:textId="3D5FB7B7"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3BD823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839DC23" w14:textId="79AE5C5D" w:rsidR="00CE6D8F" w:rsidRPr="00332B53" w:rsidRDefault="00E25A06"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EBF084C" w14:textId="77777777" w:rsidR="00CE6D8F" w:rsidRPr="003233BA" w:rsidRDefault="00CE6D8F" w:rsidP="00CE6D8F">
            <w:pPr>
              <w:pStyle w:val="BodyText"/>
              <w:rPr>
                <w:rFonts w:cstheme="minorHAnsi"/>
                <w:bCs/>
              </w:rPr>
            </w:pPr>
          </w:p>
        </w:tc>
      </w:tr>
      <w:tr w:rsidR="00CE6D8F" w:rsidRPr="007A0F4A" w14:paraId="22D86ED8" w14:textId="77777777" w:rsidTr="001A138C">
        <w:tc>
          <w:tcPr>
            <w:tcW w:w="1730" w:type="dxa"/>
            <w:shd w:val="clear" w:color="auto" w:fill="D9D9D9" w:themeFill="background1" w:themeFillShade="D9"/>
          </w:tcPr>
          <w:p w14:paraId="368BB82C" w14:textId="1C17B2F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292547A7" w14:textId="77777777" w:rsidR="00CE6D8F" w:rsidRPr="007A0F4A" w:rsidRDefault="00CE6D8F" w:rsidP="00CE6D8F">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63A9914" w14:textId="338EFE7D" w:rsidR="00CE6D8F" w:rsidRPr="00332B53" w:rsidRDefault="001A138C"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610F4BB6" w14:textId="77777777" w:rsidR="00CE6D8F" w:rsidRPr="003233BA" w:rsidRDefault="00CE6D8F" w:rsidP="00CE6D8F">
            <w:pPr>
              <w:pStyle w:val="BodyText"/>
              <w:rPr>
                <w:rFonts w:cstheme="minorHAnsi"/>
                <w:bCs/>
              </w:rPr>
            </w:pPr>
          </w:p>
        </w:tc>
      </w:tr>
      <w:tr w:rsidR="00CE6D8F" w:rsidRPr="007A0F4A" w14:paraId="0E3A9C4A" w14:textId="77777777" w:rsidTr="00576563">
        <w:tc>
          <w:tcPr>
            <w:tcW w:w="1730" w:type="dxa"/>
          </w:tcPr>
          <w:p w14:paraId="5D4C4AA7" w14:textId="5438514A"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2D8E19A"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553B13A" w14:textId="51C8DED0" w:rsidR="00CE6D8F" w:rsidRPr="00332B53" w:rsidRDefault="00A964B9"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6C2E791" w14:textId="77777777" w:rsidR="00CE6D8F" w:rsidRPr="003233BA" w:rsidRDefault="00CE6D8F" w:rsidP="00CE6D8F">
            <w:pPr>
              <w:pStyle w:val="BodyText"/>
              <w:rPr>
                <w:rFonts w:cstheme="minorHAnsi"/>
                <w:bCs/>
              </w:rPr>
            </w:pPr>
          </w:p>
        </w:tc>
      </w:tr>
      <w:tr w:rsidR="00CE6D8F" w:rsidRPr="007A0F4A" w14:paraId="46F22457" w14:textId="77777777" w:rsidTr="00576563">
        <w:tc>
          <w:tcPr>
            <w:tcW w:w="1730" w:type="dxa"/>
          </w:tcPr>
          <w:p w14:paraId="317F284D" w14:textId="0F93754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639CD63"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28950BE" w14:textId="643CA55C" w:rsidR="00CE6D8F" w:rsidRPr="00332B53" w:rsidRDefault="0001723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methodology for setting the Exceeded Curtailment Price.</w:t>
            </w:r>
          </w:p>
        </w:tc>
        <w:tc>
          <w:tcPr>
            <w:tcW w:w="3752" w:type="dxa"/>
            <w:shd w:val="clear" w:color="auto" w:fill="E2EFD9" w:themeFill="accent6" w:themeFillTint="33"/>
          </w:tcPr>
          <w:p w14:paraId="08EB5395" w14:textId="77777777" w:rsidR="00CE6D8F" w:rsidRPr="003233BA" w:rsidRDefault="00CE6D8F" w:rsidP="00CE6D8F">
            <w:pPr>
              <w:pStyle w:val="BodyText"/>
              <w:rPr>
                <w:rFonts w:cstheme="minorHAnsi"/>
                <w:bCs/>
              </w:rPr>
            </w:pPr>
          </w:p>
        </w:tc>
      </w:tr>
      <w:tr w:rsidR="00CE6D8F" w:rsidRPr="007A0F4A" w14:paraId="4DDDE01C" w14:textId="77777777" w:rsidTr="00576563">
        <w:tc>
          <w:tcPr>
            <w:tcW w:w="1730" w:type="dxa"/>
          </w:tcPr>
          <w:p w14:paraId="7DE7A052" w14:textId="2705EB4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39FE754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1E71390" w14:textId="7C35AF36" w:rsidR="00CE6D8F" w:rsidRPr="00332B53" w:rsidRDefault="001F67DB"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8E68089" w14:textId="77777777" w:rsidR="00CE6D8F" w:rsidRPr="003233BA" w:rsidRDefault="00CE6D8F" w:rsidP="00CE6D8F">
            <w:pPr>
              <w:pStyle w:val="BodyText"/>
              <w:rPr>
                <w:rFonts w:cstheme="minorHAnsi"/>
                <w:bCs/>
              </w:rPr>
            </w:pPr>
          </w:p>
        </w:tc>
      </w:tr>
      <w:tr w:rsidR="00CE6D8F" w:rsidRPr="007A0F4A" w14:paraId="1C49A9DB" w14:textId="77777777" w:rsidTr="00576563">
        <w:tc>
          <w:tcPr>
            <w:tcW w:w="1730" w:type="dxa"/>
          </w:tcPr>
          <w:p w14:paraId="2D5E0DAD" w14:textId="3C5BF7E2"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C3F6DDB"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8663363" w14:textId="0357CACB"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3CE4C16" w14:textId="77777777" w:rsidR="00CE6D8F" w:rsidRPr="003233BA" w:rsidRDefault="00CE6D8F" w:rsidP="00CE6D8F">
            <w:pPr>
              <w:pStyle w:val="BodyText"/>
              <w:rPr>
                <w:rFonts w:asciiTheme="minorHAnsi" w:hAnsiTheme="minorHAnsi" w:cstheme="minorHAnsi"/>
                <w:bCs/>
                <w:sz w:val="22"/>
                <w:szCs w:val="22"/>
                <w:lang w:val="en-GB"/>
              </w:rPr>
            </w:pPr>
          </w:p>
        </w:tc>
      </w:tr>
      <w:tr w:rsidR="00CE6D8F" w:rsidRPr="007A0F4A" w14:paraId="67EF65A0" w14:textId="77777777" w:rsidTr="00576563">
        <w:tc>
          <w:tcPr>
            <w:tcW w:w="1730" w:type="dxa"/>
          </w:tcPr>
          <w:p w14:paraId="2E76D34E" w14:textId="2F416B9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F952FC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9444E0C"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No, we do not agree that the proposed methodology is appropriate using the highest market price for all distribution flexibility services could result in the wider customer base paying significant costs for reasons outside of the DNOs control, potentially providing windfall payments to customers and impacting the DNOs ability to procure flexibility services at a value that reflects the market.</w:t>
            </w:r>
          </w:p>
          <w:p w14:paraId="3C72D90F" w14:textId="77777777" w:rsidR="000C6C27" w:rsidRPr="00332B53" w:rsidRDefault="000C6C27" w:rsidP="000C6C27">
            <w:pPr>
              <w:pStyle w:val="BodyText"/>
              <w:rPr>
                <w:rFonts w:asciiTheme="minorHAnsi" w:hAnsiTheme="minorHAnsi" w:cstheme="minorHAnsi"/>
                <w:bCs/>
                <w:sz w:val="22"/>
                <w:szCs w:val="22"/>
              </w:rPr>
            </w:pPr>
          </w:p>
          <w:p w14:paraId="1CFDDEDB"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DNOs are obliged to seek flexibility services to manage exceeded curtailment, however currently the market has low liquidity in certain geographical locations.  To date, SPEN has tendered for 1.4GW of flexibility services, covering all voltage levels and over 1500 locations within its licence areas.  We received bids from 9 providers and accepted bids from all 9 for a total of 550MW.  In addition, a more recent tender for a shorter-term service received minimal bids from only 1 provider.  Given the current low liquidity in the flexibility market, it may not be possible for DNOs to procure the necessary services to prevent exceeding curtailment limits, therefore using a methodology that could set a very high price which could easily be &gt;£1000/MWh does not recognise this impact on the wider customer base.  </w:t>
            </w:r>
          </w:p>
          <w:p w14:paraId="525B3932" w14:textId="77777777" w:rsidR="000C6C27" w:rsidRPr="00332B53" w:rsidRDefault="000C6C27" w:rsidP="000C6C27">
            <w:pPr>
              <w:pStyle w:val="BodyText"/>
              <w:rPr>
                <w:rFonts w:asciiTheme="minorHAnsi" w:hAnsiTheme="minorHAnsi" w:cstheme="minorHAnsi"/>
                <w:bCs/>
                <w:sz w:val="22"/>
                <w:szCs w:val="22"/>
              </w:rPr>
            </w:pPr>
          </w:p>
          <w:p w14:paraId="3955BF7A" w14:textId="10AE1181" w:rsidR="00CE6D8F"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Further information is provided in the answer to Question 15.   </w:t>
            </w:r>
          </w:p>
        </w:tc>
        <w:tc>
          <w:tcPr>
            <w:tcW w:w="3752" w:type="dxa"/>
            <w:shd w:val="clear" w:color="auto" w:fill="E2EFD9" w:themeFill="accent6" w:themeFillTint="33"/>
          </w:tcPr>
          <w:p w14:paraId="299F8649" w14:textId="77777777" w:rsidR="00CE6D8F" w:rsidRPr="003233BA" w:rsidRDefault="00CE6D8F" w:rsidP="00CE6D8F">
            <w:pPr>
              <w:pStyle w:val="BodyText"/>
              <w:rPr>
                <w:rFonts w:cstheme="minorHAnsi"/>
                <w:bCs/>
              </w:rPr>
            </w:pPr>
          </w:p>
        </w:tc>
      </w:tr>
      <w:tr w:rsidR="00CE6D8F" w:rsidRPr="007A0F4A" w14:paraId="13FD8473" w14:textId="77777777" w:rsidTr="00576563">
        <w:tc>
          <w:tcPr>
            <w:tcW w:w="1730" w:type="dxa"/>
          </w:tcPr>
          <w:p w14:paraId="57FCE31A" w14:textId="7BC9A5E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SSEG</w:t>
            </w:r>
          </w:p>
        </w:tc>
        <w:tc>
          <w:tcPr>
            <w:tcW w:w="1530" w:type="dxa"/>
          </w:tcPr>
          <w:p w14:paraId="1BA136D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2C07F4A" w14:textId="1F84734C" w:rsidR="00CE6D8F" w:rsidRPr="00332B53" w:rsidRDefault="008551D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Please see our responses to questions 12., 14., 15. and 17.</w:t>
            </w:r>
          </w:p>
        </w:tc>
        <w:tc>
          <w:tcPr>
            <w:tcW w:w="3752" w:type="dxa"/>
            <w:shd w:val="clear" w:color="auto" w:fill="E2EFD9" w:themeFill="accent6" w:themeFillTint="33"/>
          </w:tcPr>
          <w:p w14:paraId="7DDFF66C" w14:textId="77777777" w:rsidR="00CE6D8F" w:rsidRPr="003233BA" w:rsidRDefault="00CE6D8F" w:rsidP="00CE6D8F">
            <w:pPr>
              <w:pStyle w:val="BodyText"/>
              <w:rPr>
                <w:rFonts w:cstheme="minorHAnsi"/>
                <w:bCs/>
              </w:rPr>
            </w:pPr>
          </w:p>
        </w:tc>
      </w:tr>
      <w:tr w:rsidR="00CE6D8F" w:rsidRPr="007A0F4A" w14:paraId="6D41D9AB" w14:textId="77777777" w:rsidTr="00576563">
        <w:tc>
          <w:tcPr>
            <w:tcW w:w="1730" w:type="dxa"/>
          </w:tcPr>
          <w:p w14:paraId="5DA554CF" w14:textId="01EE2FD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2AB3803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C15F728" w14:textId="77777777" w:rsidR="00745814" w:rsidRPr="00332B53" w:rsidRDefault="00745814" w:rsidP="00745814">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that it is practical to set the price with reference to contracts placed (as a preference) or tendered price (if no contracts have been placed).  We do not agree a price of £zero is appropriate and suggest this is replaced with a price set at the maximum of all DSAs should no contracted or published tender prices be available within that DSA.</w:t>
            </w:r>
          </w:p>
          <w:p w14:paraId="434975FF" w14:textId="31B79A1D" w:rsidR="00CE6D8F" w:rsidRPr="00332B53" w:rsidRDefault="00745814" w:rsidP="00745814">
            <w:pPr>
              <w:pStyle w:val="BodyText"/>
              <w:rPr>
                <w:rFonts w:asciiTheme="minorHAnsi" w:hAnsiTheme="minorHAnsi" w:cstheme="minorHAnsi"/>
                <w:bCs/>
                <w:sz w:val="22"/>
                <w:szCs w:val="22"/>
              </w:rPr>
            </w:pPr>
            <w:r w:rsidRPr="00332B53">
              <w:rPr>
                <w:rFonts w:asciiTheme="minorHAnsi" w:hAnsiTheme="minorHAnsi" w:cstheme="minorHAnsi"/>
                <w:bCs/>
                <w:sz w:val="22"/>
                <w:szCs w:val="22"/>
              </w:rPr>
              <w:t>Flexibility services are locationally based and set competitively.  We agree that it is practical to set an exceeded curtailment price at the DSA level but note that, within a DSA, there may be odd and/or extreme cases which lead to the need for very high cost flexibility services.  We are concerned that the use of extreme prices to set a DSA-wide curtailment limit might create an unintended pressure to not pursue some flexibility services even where they would otherwise be efficient.  To that extent, we believe there should be mechanism to exclude the most extreme prices from the DSA-wide exceeded curtailment price - perhaps by disregarding prices greater than 2 standard deviations of the total prices contracted or offered in the period.  This would still result in exceeded curtailment prices which are set so they are not the 'default curtailment remedy' and would disincentivise excess curtailment.  We agree a percentage increase is added to this price to ensure it remains 'markedly higher.'</w:t>
            </w:r>
          </w:p>
        </w:tc>
        <w:tc>
          <w:tcPr>
            <w:tcW w:w="3752" w:type="dxa"/>
            <w:shd w:val="clear" w:color="auto" w:fill="E2EFD9" w:themeFill="accent6" w:themeFillTint="33"/>
          </w:tcPr>
          <w:p w14:paraId="74409931" w14:textId="77777777" w:rsidR="00CE6D8F" w:rsidRPr="003233BA" w:rsidRDefault="00CE6D8F" w:rsidP="00CE6D8F">
            <w:pPr>
              <w:pStyle w:val="BodyText"/>
              <w:rPr>
                <w:rFonts w:cstheme="minorHAnsi"/>
                <w:bCs/>
              </w:rPr>
            </w:pPr>
          </w:p>
        </w:tc>
      </w:tr>
      <w:tr w:rsidR="00CE6D8F" w:rsidRPr="007A0F4A" w14:paraId="05D10AC0" w14:textId="77777777" w:rsidTr="00576563">
        <w:tc>
          <w:tcPr>
            <w:tcW w:w="1730" w:type="dxa"/>
          </w:tcPr>
          <w:p w14:paraId="691C9B90" w14:textId="29AD0E8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0988E29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8918DA1"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No. We believe this is a misinterpretation of the intent of Ofgem’s Direction. As explained below, we believe the proposed methodology will, in fact, lead to unintended consequences that do not meet the principles set out by Ofgem.</w:t>
            </w:r>
          </w:p>
          <w:p w14:paraId="636A922D" w14:textId="52F316DB" w:rsidR="00CE6D8F"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We describe these points in detail in our responses to questions 15.a) and 16.</w:t>
            </w:r>
          </w:p>
        </w:tc>
        <w:tc>
          <w:tcPr>
            <w:tcW w:w="3752" w:type="dxa"/>
            <w:shd w:val="clear" w:color="auto" w:fill="E2EFD9" w:themeFill="accent6" w:themeFillTint="33"/>
          </w:tcPr>
          <w:p w14:paraId="0A76ACD5" w14:textId="77777777" w:rsidR="00CE6D8F" w:rsidRPr="003233BA" w:rsidRDefault="00CE6D8F" w:rsidP="00CE6D8F">
            <w:pPr>
              <w:pStyle w:val="BodyText"/>
              <w:rPr>
                <w:rFonts w:cstheme="minorHAnsi"/>
                <w:bCs/>
              </w:rPr>
            </w:pPr>
          </w:p>
        </w:tc>
      </w:tr>
      <w:tr w:rsidR="00CE6D8F" w:rsidRPr="007A0F4A" w14:paraId="6D14FC30" w14:textId="77777777" w:rsidTr="00576563">
        <w:tc>
          <w:tcPr>
            <w:tcW w:w="1730" w:type="dxa"/>
          </w:tcPr>
          <w:p w14:paraId="004C84E6" w14:textId="6F128A2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29309A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DE70C70" w14:textId="79E13646"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methodology.</w:t>
            </w:r>
          </w:p>
        </w:tc>
        <w:tc>
          <w:tcPr>
            <w:tcW w:w="3752" w:type="dxa"/>
            <w:shd w:val="clear" w:color="auto" w:fill="E2EFD9" w:themeFill="accent6" w:themeFillTint="33"/>
          </w:tcPr>
          <w:p w14:paraId="13D4FDB0" w14:textId="77777777" w:rsidR="00CE6D8F" w:rsidRPr="003233BA" w:rsidRDefault="00CE6D8F" w:rsidP="00CE6D8F">
            <w:pPr>
              <w:pStyle w:val="BodyText"/>
              <w:rPr>
                <w:rFonts w:cstheme="minorHAnsi"/>
                <w:bCs/>
              </w:rPr>
            </w:pPr>
          </w:p>
        </w:tc>
      </w:tr>
      <w:tr w:rsidR="00CE6D8F" w:rsidRPr="007A0F4A" w14:paraId="6EBEA119" w14:textId="77777777" w:rsidTr="00576563">
        <w:tc>
          <w:tcPr>
            <w:tcW w:w="14081" w:type="dxa"/>
            <w:gridSpan w:val="4"/>
            <w:shd w:val="clear" w:color="auto" w:fill="E2EFD9" w:themeFill="accent6" w:themeFillTint="33"/>
          </w:tcPr>
          <w:p w14:paraId="5106036F" w14:textId="77777777" w:rsidR="00CE6D8F" w:rsidRPr="007A0F4A" w:rsidRDefault="00CE6D8F" w:rsidP="00CE6D8F">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53447203" w14:textId="6C0E2250" w:rsidR="002E69DF" w:rsidRDefault="002E69DF">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024D7" w:rsidRPr="007A0F4A" w14:paraId="12A92AB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AC97605" w14:textId="77777777" w:rsidR="009024D7" w:rsidRPr="007A0F4A" w:rsidRDefault="009024D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DC18DFC" w14:textId="77777777" w:rsidR="009024D7" w:rsidRPr="007A0F4A" w:rsidRDefault="009024D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570D329" w14:textId="77777777" w:rsidR="009024D7" w:rsidRPr="007A0F4A" w:rsidRDefault="009024D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461CB34" w14:textId="38AEB393" w:rsidR="009024D7" w:rsidRPr="007A0F4A" w:rsidRDefault="00FB5883">
            <w:pPr>
              <w:pStyle w:val="BodyTextNoSpacing"/>
              <w:numPr>
                <w:ilvl w:val="0"/>
                <w:numId w:val="3"/>
              </w:numPr>
              <w:rPr>
                <w:rFonts w:asciiTheme="minorHAnsi" w:hAnsiTheme="minorHAnsi" w:cstheme="minorHAnsi"/>
                <w:bCs/>
                <w:sz w:val="22"/>
                <w:szCs w:val="22"/>
              </w:rPr>
            </w:pPr>
            <w:r w:rsidRPr="00A91739">
              <w:t xml:space="preserve">Do you agree </w:t>
            </w:r>
            <w:r>
              <w:t>that</w:t>
            </w:r>
            <w:r w:rsidRPr="00A91739">
              <w:t xml:space="preserve"> </w:t>
            </w:r>
            <w:r>
              <w:t xml:space="preserve">an </w:t>
            </w:r>
            <w:r w:rsidRPr="00A91739">
              <w:t xml:space="preserve">uplift of 20% </w:t>
            </w:r>
            <w:r>
              <w:t xml:space="preserve">meets the requirement of </w:t>
            </w:r>
            <w:r w:rsidRPr="00A91739">
              <w:t xml:space="preserve">‘markedly higher’? </w:t>
            </w:r>
            <w:r>
              <w:t>I</w:t>
            </w:r>
            <w:r w:rsidRPr="00A91739">
              <w:t>f not please give your reasons and advise what level you believe the uplift should be set at.</w:t>
            </w:r>
          </w:p>
        </w:tc>
        <w:tc>
          <w:tcPr>
            <w:tcW w:w="3752" w:type="dxa"/>
            <w:shd w:val="clear" w:color="auto" w:fill="E2EFD9" w:themeFill="accent6" w:themeFillTint="33"/>
          </w:tcPr>
          <w:p w14:paraId="36BD2E62" w14:textId="77777777" w:rsidR="009024D7" w:rsidRPr="007A0F4A" w:rsidRDefault="009024D7"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7A0F4A" w14:paraId="4E16EE60" w14:textId="77777777" w:rsidTr="00576563">
        <w:tc>
          <w:tcPr>
            <w:tcW w:w="1730" w:type="dxa"/>
          </w:tcPr>
          <w:p w14:paraId="3235A2C8" w14:textId="60C3B44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4EB29963"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34B356CA" w14:textId="40D2DF5B"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We recognise the slightly arbitrary nature of 20% but can provide no justification for a better number than this. Along with other areas, we think that this should be reviewed in the future.</w:t>
            </w:r>
          </w:p>
        </w:tc>
        <w:tc>
          <w:tcPr>
            <w:tcW w:w="3752" w:type="dxa"/>
            <w:shd w:val="clear" w:color="auto" w:fill="E2EFD9" w:themeFill="accent6" w:themeFillTint="33"/>
          </w:tcPr>
          <w:p w14:paraId="5F154578" w14:textId="77777777" w:rsidR="00895CE0" w:rsidRPr="003233BA" w:rsidRDefault="00895CE0" w:rsidP="00576563">
            <w:pPr>
              <w:pStyle w:val="BodyText"/>
              <w:rPr>
                <w:rFonts w:cstheme="minorHAnsi"/>
                <w:bCs/>
              </w:rPr>
            </w:pPr>
          </w:p>
        </w:tc>
      </w:tr>
      <w:tr w:rsidR="004000B8" w:rsidRPr="007A0F4A" w14:paraId="6D118B9D" w14:textId="77777777" w:rsidTr="00576563">
        <w:tc>
          <w:tcPr>
            <w:tcW w:w="1730" w:type="dxa"/>
          </w:tcPr>
          <w:p w14:paraId="167796CE" w14:textId="1334393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4E1276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B0F6E7" w14:textId="504370F1"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BFCD203" w14:textId="77777777" w:rsidR="004000B8" w:rsidRPr="003233BA" w:rsidRDefault="004000B8" w:rsidP="004000B8">
            <w:pPr>
              <w:pStyle w:val="BodyText"/>
              <w:rPr>
                <w:rFonts w:cstheme="minorHAnsi"/>
                <w:bCs/>
              </w:rPr>
            </w:pPr>
          </w:p>
        </w:tc>
      </w:tr>
      <w:tr w:rsidR="004000B8" w:rsidRPr="007A0F4A" w14:paraId="7864D2AF" w14:textId="77777777" w:rsidTr="00576563">
        <w:tc>
          <w:tcPr>
            <w:tcW w:w="1730" w:type="dxa"/>
          </w:tcPr>
          <w:p w14:paraId="552607BC" w14:textId="5583972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F03AC4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AF44E92" w14:textId="064B5E45"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 decision and direction gave no indication of what markedly higher means. 20% is a reasonable value considering that highest prices for economically efficient Distribution Flexibility Services are being utilised.</w:t>
            </w:r>
          </w:p>
        </w:tc>
        <w:tc>
          <w:tcPr>
            <w:tcW w:w="3752" w:type="dxa"/>
            <w:shd w:val="clear" w:color="auto" w:fill="E2EFD9" w:themeFill="accent6" w:themeFillTint="33"/>
          </w:tcPr>
          <w:p w14:paraId="497714C6" w14:textId="77777777" w:rsidR="004000B8" w:rsidRPr="003233BA" w:rsidRDefault="004000B8" w:rsidP="004000B8">
            <w:pPr>
              <w:pStyle w:val="BodyText"/>
              <w:rPr>
                <w:rFonts w:cstheme="minorHAnsi"/>
                <w:bCs/>
              </w:rPr>
            </w:pPr>
          </w:p>
        </w:tc>
      </w:tr>
      <w:tr w:rsidR="004000B8" w:rsidRPr="007A0F4A" w14:paraId="30A1FDFA" w14:textId="77777777" w:rsidTr="00576563">
        <w:tc>
          <w:tcPr>
            <w:tcW w:w="1730" w:type="dxa"/>
          </w:tcPr>
          <w:p w14:paraId="2760BA09" w14:textId="344B428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44CDAAC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11EA23D" w14:textId="0F7ECD91"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Yes, without any further clarification or direction from </w:t>
            </w:r>
            <w:r w:rsidRPr="00332B53">
              <w:rPr>
                <w:rFonts w:asciiTheme="minorHAnsi" w:hAnsiTheme="minorHAnsi" w:cstheme="minorHAnsi"/>
                <w:bCs/>
                <w:sz w:val="22"/>
                <w:szCs w:val="22"/>
                <w:lang w:val="en-GB"/>
              </w:rPr>
              <w:t>O</w:t>
            </w:r>
            <w:r w:rsidRPr="00332B53">
              <w:rPr>
                <w:rFonts w:asciiTheme="minorHAnsi" w:hAnsiTheme="minorHAnsi" w:cstheme="minorHAnsi"/>
                <w:bCs/>
                <w:sz w:val="22"/>
                <w:szCs w:val="22"/>
              </w:rPr>
              <w:t>fgem, we are comfortable that 20% meets the markedly higher requirement.</w:t>
            </w:r>
          </w:p>
        </w:tc>
        <w:tc>
          <w:tcPr>
            <w:tcW w:w="3752" w:type="dxa"/>
            <w:shd w:val="clear" w:color="auto" w:fill="E2EFD9" w:themeFill="accent6" w:themeFillTint="33"/>
          </w:tcPr>
          <w:p w14:paraId="2F42CC3D" w14:textId="77777777" w:rsidR="004000B8" w:rsidRPr="003233BA" w:rsidRDefault="004000B8" w:rsidP="004000B8">
            <w:pPr>
              <w:pStyle w:val="BodyText"/>
              <w:rPr>
                <w:rFonts w:cstheme="minorHAnsi"/>
                <w:bCs/>
              </w:rPr>
            </w:pPr>
          </w:p>
        </w:tc>
      </w:tr>
      <w:tr w:rsidR="004000B8" w:rsidRPr="007A0F4A" w14:paraId="19C05EE1" w14:textId="77777777" w:rsidTr="001A138C">
        <w:tc>
          <w:tcPr>
            <w:tcW w:w="1730" w:type="dxa"/>
            <w:shd w:val="clear" w:color="auto" w:fill="D9D9D9" w:themeFill="background1" w:themeFillShade="D9"/>
          </w:tcPr>
          <w:p w14:paraId="1E2E6DBD" w14:textId="46453E0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7634B0D1"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5E7034DD" w14:textId="3FAF906E"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11A8F4B4" w14:textId="77777777" w:rsidR="004000B8" w:rsidRPr="003233BA" w:rsidRDefault="004000B8" w:rsidP="004000B8">
            <w:pPr>
              <w:pStyle w:val="BodyText"/>
              <w:rPr>
                <w:rFonts w:cstheme="minorHAnsi"/>
                <w:bCs/>
              </w:rPr>
            </w:pPr>
          </w:p>
        </w:tc>
      </w:tr>
      <w:tr w:rsidR="004000B8" w:rsidRPr="007A0F4A" w14:paraId="32766806" w14:textId="77777777" w:rsidTr="00576563">
        <w:tc>
          <w:tcPr>
            <w:tcW w:w="1730" w:type="dxa"/>
          </w:tcPr>
          <w:p w14:paraId="143A50AC" w14:textId="6969FA8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NPg</w:t>
            </w:r>
          </w:p>
        </w:tc>
        <w:tc>
          <w:tcPr>
            <w:tcW w:w="1530" w:type="dxa"/>
          </w:tcPr>
          <w:p w14:paraId="1C35A58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11C4472" w14:textId="6E478554"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47AB4C9" w14:textId="77777777" w:rsidR="004000B8" w:rsidRPr="003233BA" w:rsidRDefault="004000B8" w:rsidP="004000B8">
            <w:pPr>
              <w:pStyle w:val="BodyText"/>
              <w:rPr>
                <w:rFonts w:cstheme="minorHAnsi"/>
                <w:bCs/>
              </w:rPr>
            </w:pPr>
          </w:p>
        </w:tc>
      </w:tr>
      <w:tr w:rsidR="004000B8" w:rsidRPr="007A0F4A" w14:paraId="7B9F60FD" w14:textId="77777777" w:rsidTr="00576563">
        <w:tc>
          <w:tcPr>
            <w:tcW w:w="1730" w:type="dxa"/>
          </w:tcPr>
          <w:p w14:paraId="63F0EBBE" w14:textId="21BCA7F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C90B94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B077BC1" w14:textId="7C2972E8"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concerned that 20% is not high enough to disincentivise DNOs from opting to curtail</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generators beyond their contract agreements, rather than encouraging DNOs to tender for flexibility</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services. </w:t>
            </w:r>
          </w:p>
          <w:p w14:paraId="214ABD2F" w14:textId="242142AC"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It is not currently clear how and if DNOs compare flexible connections vs procuring flexibilityservices, and as far as we understand it this comparison isn’t possible in the CEM tool. </w:t>
            </w:r>
          </w:p>
          <w:p w14:paraId="3C60FE0D" w14:textId="5E05D860"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We therefore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worry that there is no explicit mechanism or penalties on DNOs if they decide to offer flexible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connections instead of procuring flexibility services, even when they are cheaper. </w:t>
            </w:r>
          </w:p>
          <w:p w14:paraId="4A3DD34B" w14:textId="463362C5"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To further</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disincentivise DNOs from opting to curtail generators rather than procure flexibility services, we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recommend that the uplift is amended to be 50% to truly embed the intention for a flexibility first</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approach before flexible connections or reinforcement are considered. </w:t>
            </w:r>
          </w:p>
          <w:p w14:paraId="4720D027" w14:textId="0A17B315" w:rsidR="004000B8"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In addition, we suggest that</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there is a mechanism developed to directly link flexibility services to flexible connections. This could</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potentially be an extension of the CEM tool to give industry reassurance that the most cost-effective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solutions are being taken forward.</w:t>
            </w:r>
          </w:p>
        </w:tc>
        <w:tc>
          <w:tcPr>
            <w:tcW w:w="3752" w:type="dxa"/>
            <w:shd w:val="clear" w:color="auto" w:fill="E2EFD9" w:themeFill="accent6" w:themeFillTint="33"/>
          </w:tcPr>
          <w:p w14:paraId="50DE4F91" w14:textId="77777777" w:rsidR="004000B8" w:rsidRPr="003233BA" w:rsidRDefault="004000B8" w:rsidP="004000B8">
            <w:pPr>
              <w:pStyle w:val="BodyText"/>
              <w:rPr>
                <w:rFonts w:cstheme="minorHAnsi"/>
                <w:bCs/>
              </w:rPr>
            </w:pPr>
          </w:p>
        </w:tc>
      </w:tr>
      <w:tr w:rsidR="004000B8" w:rsidRPr="007A0F4A" w14:paraId="0EB48B94" w14:textId="77777777" w:rsidTr="00576563">
        <w:tc>
          <w:tcPr>
            <w:tcW w:w="1730" w:type="dxa"/>
          </w:tcPr>
          <w:p w14:paraId="29324D9E" w14:textId="5D83AA6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9D85F4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CBAEBC" w14:textId="568CA41E"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CFB45E1" w14:textId="77777777" w:rsidR="004000B8" w:rsidRPr="003233BA" w:rsidRDefault="004000B8" w:rsidP="004000B8">
            <w:pPr>
              <w:pStyle w:val="BodyText"/>
              <w:rPr>
                <w:rFonts w:cstheme="minorHAnsi"/>
                <w:bCs/>
              </w:rPr>
            </w:pPr>
          </w:p>
        </w:tc>
      </w:tr>
      <w:tr w:rsidR="004000B8" w:rsidRPr="007A0F4A" w14:paraId="67CA47AE" w14:textId="77777777" w:rsidTr="00576563">
        <w:tc>
          <w:tcPr>
            <w:tcW w:w="1730" w:type="dxa"/>
          </w:tcPr>
          <w:p w14:paraId="7ED7678B" w14:textId="251D23B1"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8AC35E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19BF8A3" w14:textId="6E37C706" w:rsidR="004000B8" w:rsidRPr="00332B53" w:rsidRDefault="004000B8" w:rsidP="004000B8">
            <w:pPr>
              <w:pStyle w:val="BodyText"/>
              <w:rPr>
                <w:rFonts w:asciiTheme="minorHAnsi" w:hAnsiTheme="minorHAnsi" w:cstheme="minorHAnsi"/>
                <w:bCs/>
                <w:sz w:val="22"/>
                <w:szCs w:val="22"/>
                <w:lang w:val="en-GB"/>
              </w:rPr>
            </w:pPr>
            <w:proofErr w:type="gramStart"/>
            <w:r w:rsidRPr="00332B53">
              <w:rPr>
                <w:rFonts w:asciiTheme="minorHAnsi" w:hAnsiTheme="minorHAnsi" w:cstheme="minorHAnsi"/>
                <w:bCs/>
                <w:sz w:val="22"/>
                <w:szCs w:val="22"/>
                <w:lang w:val="en-GB"/>
              </w:rPr>
              <w:t>At the moment</w:t>
            </w:r>
            <w:proofErr w:type="gramEnd"/>
            <w:r w:rsidRPr="00332B53">
              <w:rPr>
                <w:rFonts w:asciiTheme="minorHAnsi" w:hAnsiTheme="minorHAnsi" w:cstheme="minorHAnsi"/>
                <w:bCs/>
                <w:sz w:val="22"/>
                <w:szCs w:val="22"/>
                <w:lang w:val="en-GB"/>
              </w:rPr>
              <w:t>, flexibility is highly valued by DNOs, so 20% represents a considerable increase in absolute terms. Should flexibility markets become significantly lower in value, 20% may no longer be appropriate, but a modification can be raised to address this.</w:t>
            </w:r>
          </w:p>
        </w:tc>
        <w:tc>
          <w:tcPr>
            <w:tcW w:w="3752" w:type="dxa"/>
            <w:shd w:val="clear" w:color="auto" w:fill="E2EFD9" w:themeFill="accent6" w:themeFillTint="33"/>
          </w:tcPr>
          <w:p w14:paraId="079E87BE" w14:textId="77777777" w:rsidR="004000B8" w:rsidRPr="003233BA" w:rsidRDefault="004000B8" w:rsidP="004000B8">
            <w:pPr>
              <w:pStyle w:val="BodyText"/>
              <w:rPr>
                <w:rFonts w:asciiTheme="minorHAnsi" w:hAnsiTheme="minorHAnsi" w:cstheme="minorHAnsi"/>
                <w:bCs/>
                <w:sz w:val="22"/>
                <w:szCs w:val="22"/>
                <w:lang w:val="en-GB"/>
              </w:rPr>
            </w:pPr>
          </w:p>
        </w:tc>
      </w:tr>
      <w:tr w:rsidR="004000B8" w:rsidRPr="007A0F4A" w14:paraId="4AAE5F63" w14:textId="77777777" w:rsidTr="00576563">
        <w:tc>
          <w:tcPr>
            <w:tcW w:w="1730" w:type="dxa"/>
          </w:tcPr>
          <w:p w14:paraId="5700414E" w14:textId="69EF0D3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30" w:type="dxa"/>
          </w:tcPr>
          <w:p w14:paraId="3FD62A1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619D5FB" w14:textId="522E2C0A"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20%.</w:t>
            </w:r>
          </w:p>
        </w:tc>
        <w:tc>
          <w:tcPr>
            <w:tcW w:w="3752" w:type="dxa"/>
            <w:shd w:val="clear" w:color="auto" w:fill="E2EFD9" w:themeFill="accent6" w:themeFillTint="33"/>
          </w:tcPr>
          <w:p w14:paraId="7832A9F0" w14:textId="77777777" w:rsidR="004000B8" w:rsidRPr="003233BA" w:rsidRDefault="004000B8" w:rsidP="004000B8">
            <w:pPr>
              <w:pStyle w:val="BodyText"/>
              <w:rPr>
                <w:rFonts w:cstheme="minorHAnsi"/>
                <w:bCs/>
              </w:rPr>
            </w:pPr>
          </w:p>
        </w:tc>
      </w:tr>
      <w:tr w:rsidR="004000B8" w:rsidRPr="007A0F4A" w14:paraId="63DA1F48" w14:textId="77777777" w:rsidTr="00576563">
        <w:tc>
          <w:tcPr>
            <w:tcW w:w="1730" w:type="dxa"/>
          </w:tcPr>
          <w:p w14:paraId="63696394" w14:textId="12DC22D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5D1E057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3C5C615" w14:textId="4576B9EB"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consider that the various proposed percentage adjustments proposed (wrt the curtailment threshold, the uplift of the exceeded curtailment price and flexibility market price outliers) are somewhat arbitrary but we recognise that there appears to be a lack of an evidence base in each case. Unless data can be identified to underpin those adjustments, we propose that a regular review is scheduled and codified in the DCUSA, so that over time, the arbitrary adjustments can become more evidence based.</w:t>
            </w:r>
          </w:p>
        </w:tc>
        <w:tc>
          <w:tcPr>
            <w:tcW w:w="3752" w:type="dxa"/>
            <w:shd w:val="clear" w:color="auto" w:fill="E2EFD9" w:themeFill="accent6" w:themeFillTint="33"/>
          </w:tcPr>
          <w:p w14:paraId="354CF184" w14:textId="77777777" w:rsidR="004000B8" w:rsidRPr="003233BA" w:rsidRDefault="004000B8" w:rsidP="004000B8">
            <w:pPr>
              <w:pStyle w:val="BodyText"/>
              <w:rPr>
                <w:rFonts w:cstheme="minorHAnsi"/>
                <w:bCs/>
              </w:rPr>
            </w:pPr>
          </w:p>
        </w:tc>
      </w:tr>
      <w:tr w:rsidR="004000B8" w:rsidRPr="007A0F4A" w14:paraId="3AD0DC87" w14:textId="77777777" w:rsidTr="00576563">
        <w:tc>
          <w:tcPr>
            <w:tcW w:w="1730" w:type="dxa"/>
          </w:tcPr>
          <w:p w14:paraId="3EEADC1D" w14:textId="2230B29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530B1BC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347F12" w14:textId="4C420A37"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a percentage increase should added to this price to ensure it is 'markedly higher.' As we discuss in our response to Q13, there is a risk that exceptionally high exceeded curtailment prices could distort wider efficient network design. At this stage, we consider 20% to be the largest percentage that could be applied and recommend that 10% would also be 'markedly higher.' The choice of percentage, its effectiveness and any unintended consequences should be kept under review.</w:t>
            </w:r>
          </w:p>
        </w:tc>
        <w:tc>
          <w:tcPr>
            <w:tcW w:w="3752" w:type="dxa"/>
            <w:shd w:val="clear" w:color="auto" w:fill="E2EFD9" w:themeFill="accent6" w:themeFillTint="33"/>
          </w:tcPr>
          <w:p w14:paraId="34FBCC14" w14:textId="77777777" w:rsidR="004000B8" w:rsidRPr="003233BA" w:rsidRDefault="004000B8" w:rsidP="004000B8">
            <w:pPr>
              <w:pStyle w:val="BodyText"/>
              <w:rPr>
                <w:rFonts w:cstheme="minorHAnsi"/>
                <w:bCs/>
              </w:rPr>
            </w:pPr>
          </w:p>
        </w:tc>
      </w:tr>
      <w:tr w:rsidR="004000B8" w:rsidRPr="007A0F4A" w14:paraId="283562BC" w14:textId="77777777" w:rsidTr="00576563">
        <w:tc>
          <w:tcPr>
            <w:tcW w:w="1730" w:type="dxa"/>
          </w:tcPr>
          <w:p w14:paraId="2A92D688" w14:textId="413F748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5E3CD61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EEE9436" w14:textId="1E5B74F4" w:rsidR="004000B8" w:rsidRPr="00332B53" w:rsidRDefault="00B105C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if an uplift is required for the finally agreed methodology, we agree that 20% would be suitable. However, our proposed alternative methodology which uses the 95th percentile of market prices would already ensure that the calculated price is markedly higher than the typical market price.</w:t>
            </w:r>
          </w:p>
        </w:tc>
        <w:tc>
          <w:tcPr>
            <w:tcW w:w="3752" w:type="dxa"/>
            <w:shd w:val="clear" w:color="auto" w:fill="E2EFD9" w:themeFill="accent6" w:themeFillTint="33"/>
          </w:tcPr>
          <w:p w14:paraId="01B8C39F" w14:textId="77777777" w:rsidR="004000B8" w:rsidRPr="003233BA" w:rsidRDefault="004000B8" w:rsidP="004000B8">
            <w:pPr>
              <w:pStyle w:val="BodyText"/>
              <w:rPr>
                <w:rFonts w:cstheme="minorHAnsi"/>
                <w:bCs/>
              </w:rPr>
            </w:pPr>
          </w:p>
        </w:tc>
      </w:tr>
      <w:tr w:rsidR="004000B8" w:rsidRPr="007A0F4A" w14:paraId="03C246A0" w14:textId="77777777" w:rsidTr="00576563">
        <w:tc>
          <w:tcPr>
            <w:tcW w:w="1730" w:type="dxa"/>
          </w:tcPr>
          <w:p w14:paraId="534D8ECA" w14:textId="3A66A26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616BC44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E55E362" w14:textId="45B41854"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seems reasonable.</w:t>
            </w:r>
          </w:p>
        </w:tc>
        <w:tc>
          <w:tcPr>
            <w:tcW w:w="3752" w:type="dxa"/>
            <w:shd w:val="clear" w:color="auto" w:fill="E2EFD9" w:themeFill="accent6" w:themeFillTint="33"/>
          </w:tcPr>
          <w:p w14:paraId="40010FA7" w14:textId="77777777" w:rsidR="004000B8" w:rsidRPr="003233BA" w:rsidRDefault="004000B8" w:rsidP="004000B8">
            <w:pPr>
              <w:pStyle w:val="BodyText"/>
              <w:rPr>
                <w:rFonts w:cstheme="minorHAnsi"/>
                <w:bCs/>
              </w:rPr>
            </w:pPr>
          </w:p>
        </w:tc>
      </w:tr>
      <w:tr w:rsidR="004000B8" w:rsidRPr="007A0F4A" w14:paraId="127CF8C3" w14:textId="77777777" w:rsidTr="00576563">
        <w:tc>
          <w:tcPr>
            <w:tcW w:w="14081" w:type="dxa"/>
            <w:gridSpan w:val="4"/>
            <w:shd w:val="clear" w:color="auto" w:fill="E2EFD9" w:themeFill="accent6" w:themeFillTint="33"/>
          </w:tcPr>
          <w:p w14:paraId="562CDF3D"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75474907" w14:textId="51C77946" w:rsidR="009024D7" w:rsidRDefault="009024D7">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FB5883" w:rsidRPr="007A0F4A" w14:paraId="1AC28C94"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8D976FA" w14:textId="77777777" w:rsidR="00FB5883" w:rsidRPr="007A0F4A" w:rsidRDefault="00FB588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39B60D8B" w14:textId="77777777" w:rsidR="00FB5883" w:rsidRPr="007A0F4A" w:rsidRDefault="00FB588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832543B" w14:textId="77777777" w:rsidR="00FB5883" w:rsidRPr="007A0F4A" w:rsidRDefault="00FB588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3F9F0A7" w14:textId="328A8D30" w:rsidR="00E0267B" w:rsidRDefault="00E0267B">
            <w:pPr>
              <w:pStyle w:val="BodyTextNoSpacing"/>
              <w:numPr>
                <w:ilvl w:val="0"/>
                <w:numId w:val="3"/>
              </w:numPr>
            </w:pPr>
            <w:r>
              <w:t>With respect to paragraph 6.4 of the proposed new Schedule:</w:t>
            </w:r>
          </w:p>
          <w:p w14:paraId="66921D9E" w14:textId="77777777" w:rsidR="00E0267B" w:rsidRDefault="00E0267B" w:rsidP="00E0267B">
            <w:pPr>
              <w:pStyle w:val="BodyTextNoSpacing"/>
              <w:ind w:left="720"/>
            </w:pPr>
            <w:r>
              <w:t>(a)</w:t>
            </w:r>
            <w:r>
              <w:tab/>
              <w:t>should the Flexibility Market Price be the ‘highest of any Distribution Flexibility Service’ or should outliers be excluded? Do you have any alternative suggestions? Please give your reasons.</w:t>
            </w:r>
          </w:p>
          <w:p w14:paraId="0E872645" w14:textId="77777777" w:rsidR="00E0267B" w:rsidRDefault="00E0267B" w:rsidP="00E0267B">
            <w:pPr>
              <w:pStyle w:val="BodyTextNoSpacing"/>
              <w:ind w:left="720"/>
            </w:pPr>
            <w:r>
              <w:t>(b)</w:t>
            </w:r>
            <w:r>
              <w:tab/>
              <w:t>should this be of any Distribution Flexibility Services, or are there some services that should be excluded? Please give your reasons.</w:t>
            </w:r>
          </w:p>
          <w:p w14:paraId="5DD620E4" w14:textId="71D3DFCF" w:rsidR="00FB5883" w:rsidRPr="007A0F4A" w:rsidRDefault="00E0267B" w:rsidP="00E0267B">
            <w:pPr>
              <w:pStyle w:val="BodyTextNoSpacing"/>
              <w:ind w:left="720"/>
              <w:rPr>
                <w:rFonts w:asciiTheme="minorHAnsi" w:hAnsiTheme="minorHAnsi" w:cstheme="minorHAnsi"/>
                <w:bCs/>
                <w:sz w:val="22"/>
                <w:szCs w:val="22"/>
              </w:rPr>
            </w:pPr>
            <w:r>
              <w:t>(c)</w:t>
            </w:r>
            <w:r>
              <w:tab/>
              <w:t>over what period do you believe prices for Distribution Flexibility Services should be used? Please give your reasons.</w:t>
            </w:r>
          </w:p>
        </w:tc>
        <w:tc>
          <w:tcPr>
            <w:tcW w:w="3752" w:type="dxa"/>
            <w:shd w:val="clear" w:color="auto" w:fill="E2EFD9" w:themeFill="accent6" w:themeFillTint="33"/>
          </w:tcPr>
          <w:p w14:paraId="7AB8B346" w14:textId="77777777" w:rsidR="00FB5883" w:rsidRPr="007A0F4A" w:rsidRDefault="00FB5883"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06EE0605" w14:textId="77777777" w:rsidTr="00576563">
        <w:tc>
          <w:tcPr>
            <w:tcW w:w="1730" w:type="dxa"/>
          </w:tcPr>
          <w:p w14:paraId="098C4976" w14:textId="7469A586"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5EAEF5C"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A2519EF" w14:textId="77777777" w:rsidR="00895CE0" w:rsidRPr="00332B53" w:rsidRDefault="00895CE0" w:rsidP="00895CE0">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Yes, the highest seems reasonable and outliers should not be excluded</w:t>
            </w:r>
          </w:p>
          <w:p w14:paraId="2C60D40C" w14:textId="77777777" w:rsidR="00895CE0" w:rsidRPr="00332B53" w:rsidRDefault="00895CE0" w:rsidP="00895CE0">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This should include all services, we cannot tell from the consultation what the impact of removing post-fault products would be so we cannot justify support their exclusion.</w:t>
            </w:r>
          </w:p>
          <w:p w14:paraId="00ED7ECF" w14:textId="19B38B41" w:rsidR="00895CE0" w:rsidRPr="00332B53" w:rsidRDefault="00895CE0" w:rsidP="00895CE0">
            <w:pPr>
              <w:pStyle w:val="BodyText"/>
              <w:rPr>
                <w:rFonts w:asciiTheme="minorHAnsi" w:hAnsiTheme="minorHAnsi" w:cstheme="minorHAnsi"/>
                <w:bCs/>
                <w:sz w:val="22"/>
                <w:szCs w:val="22"/>
              </w:rPr>
            </w:pPr>
            <w:r w:rsidRPr="00332B53">
              <w:rPr>
                <w:rFonts w:asciiTheme="minorHAnsi" w:hAnsiTheme="minorHAnsi" w:cstheme="minorHAnsi"/>
                <w:bCs/>
                <w:sz w:val="22"/>
                <w:szCs w:val="22"/>
              </w:rPr>
              <w:t>c)</w:t>
            </w:r>
            <w:r w:rsidRPr="00332B53">
              <w:rPr>
                <w:rFonts w:asciiTheme="minorHAnsi" w:hAnsiTheme="minorHAnsi" w:cstheme="minorHAnsi"/>
                <w:bCs/>
                <w:sz w:val="22"/>
                <w:szCs w:val="22"/>
              </w:rPr>
              <w:tab/>
              <w:t>The current and previous two regulatory years seems appropriate</w:t>
            </w:r>
          </w:p>
        </w:tc>
        <w:tc>
          <w:tcPr>
            <w:tcW w:w="3752" w:type="dxa"/>
            <w:shd w:val="clear" w:color="auto" w:fill="E2EFD9" w:themeFill="accent6" w:themeFillTint="33"/>
          </w:tcPr>
          <w:p w14:paraId="32266B45"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1F77E6BD" w14:textId="77777777" w:rsidTr="00576563">
        <w:tc>
          <w:tcPr>
            <w:tcW w:w="1730" w:type="dxa"/>
          </w:tcPr>
          <w:p w14:paraId="2AC282A4" w14:textId="6F06D36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31A984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E50DFAB" w14:textId="6B649345"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In our view, the Flexibility Market Price should be the ‘highest of any Distribution Flexibility Service’</w:t>
            </w:r>
          </w:p>
        </w:tc>
        <w:tc>
          <w:tcPr>
            <w:tcW w:w="3752" w:type="dxa"/>
            <w:shd w:val="clear" w:color="auto" w:fill="E2EFD9" w:themeFill="accent6" w:themeFillTint="33"/>
          </w:tcPr>
          <w:p w14:paraId="6FA170F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43E4C86" w14:textId="77777777" w:rsidTr="00576563">
        <w:tc>
          <w:tcPr>
            <w:tcW w:w="1730" w:type="dxa"/>
          </w:tcPr>
          <w:p w14:paraId="44991303" w14:textId="73E9C25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F7B3EB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19E430B" w14:textId="77777777" w:rsidR="007F3C00"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Whilst in principle we see no objection to excluding ‘outliers’, we have not seen evidence that such outliers exist or a clear methodology for identifying them. Excluding some prices could be seen as impacting the market for Distribution Flexibility Services and hence the proposals may not meet the requirements of the direction. </w:t>
            </w:r>
          </w:p>
          <w:p w14:paraId="7F7EC500" w14:textId="77777777" w:rsidR="007F3C00" w:rsidRPr="00332B53" w:rsidRDefault="007F3C00" w:rsidP="007F3C00">
            <w:pPr>
              <w:pStyle w:val="BodyText"/>
              <w:rPr>
                <w:rFonts w:asciiTheme="minorHAnsi" w:hAnsiTheme="minorHAnsi" w:cstheme="minorHAnsi"/>
                <w:bCs/>
                <w:sz w:val="22"/>
                <w:szCs w:val="22"/>
              </w:rPr>
            </w:pPr>
          </w:p>
          <w:p w14:paraId="3D588032" w14:textId="77777777" w:rsidR="007F3C00"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We would expect any parties proposing such an approach to provide detailed evidence and analysis in their submission. We have not seen any justification for excluding any Distribution Flexibility Service and proposers would need to justify this approach and explain why curtailment could not be used as an alternative for those services.</w:t>
            </w:r>
          </w:p>
          <w:p w14:paraId="073AC6EC" w14:textId="77777777" w:rsidR="007F3C00" w:rsidRPr="00332B53" w:rsidRDefault="007F3C00" w:rsidP="007F3C00">
            <w:pPr>
              <w:pStyle w:val="BodyText"/>
              <w:rPr>
                <w:rFonts w:asciiTheme="minorHAnsi" w:hAnsiTheme="minorHAnsi" w:cstheme="minorHAnsi"/>
                <w:bCs/>
                <w:sz w:val="22"/>
                <w:szCs w:val="22"/>
              </w:rPr>
            </w:pPr>
          </w:p>
          <w:p w14:paraId="7621F082" w14:textId="6B899396"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At this stage we would expect the period over which the market prices to be assessed to be more than one year, as a single year may not be representative.</w:t>
            </w:r>
          </w:p>
        </w:tc>
        <w:tc>
          <w:tcPr>
            <w:tcW w:w="3752" w:type="dxa"/>
            <w:shd w:val="clear" w:color="auto" w:fill="E2EFD9" w:themeFill="accent6" w:themeFillTint="33"/>
          </w:tcPr>
          <w:p w14:paraId="0F14990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35224E0" w14:textId="77777777" w:rsidTr="00576563">
        <w:tc>
          <w:tcPr>
            <w:tcW w:w="1730" w:type="dxa"/>
          </w:tcPr>
          <w:p w14:paraId="78120C4A" w14:textId="69D1FB1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676E6F6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7750D82" w14:textId="77777777" w:rsidR="00E25A06" w:rsidRPr="00332B53" w:rsidRDefault="00E25A06" w:rsidP="00E25A06">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The Flexibility Market Price should exclude outliers which may be distorted due to specific market conditions.</w:t>
            </w:r>
          </w:p>
          <w:p w14:paraId="40940C45" w14:textId="77777777" w:rsidR="00E25A06" w:rsidRPr="00332B53" w:rsidRDefault="00E25A06" w:rsidP="00E25A06">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As recognised by the Working Group, post-fault products should be excluded as these should not be considered as increasing flexibility relative to a typical curtailable connection.</w:t>
            </w:r>
          </w:p>
          <w:p w14:paraId="0AA776F4" w14:textId="77777777" w:rsidR="00E25A06" w:rsidRPr="00332B53" w:rsidRDefault="00E25A06" w:rsidP="00E25A06">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Where available, the Flexibility Market Price should track current movement. We note that using prices over the span of two years in a newly developing market could lead to distorted outcomes.</w:t>
            </w:r>
          </w:p>
          <w:p w14:paraId="12B50B27" w14:textId="558B37D8" w:rsidR="004000B8" w:rsidRPr="00332B53" w:rsidRDefault="00E25A06" w:rsidP="00E25A06">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In paragraph 4.34 (second bullet point), it is noted that using higher flexibility prices could place a significant burden on DUoS customers. It is not appropriate for DUoS customers to pay for a portion of the exceeded curtailment price as it reduces the incentive of network operators to plan an efficient network.</w:t>
            </w:r>
          </w:p>
        </w:tc>
        <w:tc>
          <w:tcPr>
            <w:tcW w:w="3752" w:type="dxa"/>
            <w:shd w:val="clear" w:color="auto" w:fill="E2EFD9" w:themeFill="accent6" w:themeFillTint="33"/>
          </w:tcPr>
          <w:p w14:paraId="4679A23F"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0403B58" w14:textId="77777777" w:rsidTr="00576563">
        <w:tc>
          <w:tcPr>
            <w:tcW w:w="1730" w:type="dxa"/>
          </w:tcPr>
          <w:p w14:paraId="1F609254" w14:textId="379AA00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530" w:type="dxa"/>
          </w:tcPr>
          <w:p w14:paraId="56DA5E4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D06434B" w14:textId="77777777"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The Flexibility Market Price should exclude outliers which may be distorted due to specific market conditions.</w:t>
            </w:r>
          </w:p>
          <w:p w14:paraId="54507CFF" w14:textId="57107316"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As recognised by the Working Group, post-fault products should be excluded as these should not be considered as increasing flexibility relative to a typical curtailable connection.</w:t>
            </w:r>
          </w:p>
          <w:p w14:paraId="2ED819EE" w14:textId="27AF0722" w:rsidR="001A138C"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Where available, the Flexibility Market Price should track current movement. Note that using prices over the span of two years in a newly developing market could lead to distorted outcomes.</w:t>
            </w:r>
          </w:p>
          <w:p w14:paraId="125ED73B" w14:textId="315F3208" w:rsidR="004000B8" w:rsidRPr="00332B53" w:rsidRDefault="001A138C" w:rsidP="001A138C">
            <w:pPr>
              <w:pStyle w:val="BodyText"/>
              <w:rPr>
                <w:rFonts w:asciiTheme="minorHAnsi" w:hAnsiTheme="minorHAnsi" w:cstheme="minorHAnsi"/>
                <w:bCs/>
                <w:sz w:val="22"/>
                <w:szCs w:val="22"/>
              </w:rPr>
            </w:pPr>
            <w:r w:rsidRPr="00332B53">
              <w:rPr>
                <w:rFonts w:asciiTheme="minorHAnsi" w:hAnsiTheme="minorHAnsi" w:cstheme="minorHAnsi"/>
                <w:bCs/>
                <w:sz w:val="22"/>
                <w:szCs w:val="22"/>
              </w:rPr>
              <w:t>In paragraph 4.34 (second bullet point), it is noted that using higher flexibility prices could place a significant burden on DUoS customers. It is not appropriate for DUoS customers to pay for a portion of the exceeded curtailment price as it reduces the incentive of network operators to plan an efficient network.</w:t>
            </w:r>
          </w:p>
        </w:tc>
        <w:tc>
          <w:tcPr>
            <w:tcW w:w="3752" w:type="dxa"/>
            <w:shd w:val="clear" w:color="auto" w:fill="E2EFD9" w:themeFill="accent6" w:themeFillTint="33"/>
          </w:tcPr>
          <w:p w14:paraId="5B73B05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18FDDED" w14:textId="77777777" w:rsidTr="00576563">
        <w:tc>
          <w:tcPr>
            <w:tcW w:w="1730" w:type="dxa"/>
          </w:tcPr>
          <w:p w14:paraId="52488786" w14:textId="41FB3F3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383F79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A6F18C1"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Whilst we accept that the Exceeded Curtailment Price should incentivise a DNO/IDNO Party not to exceed the Curtailment Limit:</w:t>
            </w:r>
          </w:p>
          <w:p w14:paraId="03157B8F"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We support excluding outliers from the calculation of the Flexibility Market Price. We agree that there is a risk of short-term solutions distorting prices, which may result in a Customer being paid a significantly higher price than a DNO/IDNO Party would pay for Distribution Flexibility Services at the relevant location. Whilst the Exceeded Curtailment Price should be sufficiently high to disincentivise the DNO/IDNO Party from exceeding the Curtailment Limit, it should not represent an excessive windfall for the Customer. We are comfortable with the use of a 95th percentile.</w:t>
            </w:r>
          </w:p>
          <w:p w14:paraId="6A31CF73"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We support excluding post-fault ‘products’ given that an interruption is excluded from the measurement of Curtailment.</w:t>
            </w:r>
          </w:p>
          <w:p w14:paraId="13F058F5"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(c)</w:t>
            </w:r>
            <w:r w:rsidRPr="00332B53">
              <w:rPr>
                <w:rFonts w:asciiTheme="minorHAnsi" w:hAnsiTheme="minorHAnsi" w:cstheme="minorHAnsi"/>
                <w:bCs/>
                <w:sz w:val="22"/>
                <w:szCs w:val="22"/>
              </w:rPr>
              <w:tab/>
              <w:t>We are comfortable with retaining the three-year period for assessing prices contracted/tendered for Distribution Flexibility Services. This will allow a greater ‘sample’ period for an emerging market.</w:t>
            </w:r>
          </w:p>
          <w:p w14:paraId="38BD785A" w14:textId="069161E2" w:rsidR="004000B8"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comfortable that this approach aligns with the Access SCR Direction.</w:t>
            </w:r>
          </w:p>
        </w:tc>
        <w:tc>
          <w:tcPr>
            <w:tcW w:w="3752" w:type="dxa"/>
            <w:shd w:val="clear" w:color="auto" w:fill="E2EFD9" w:themeFill="accent6" w:themeFillTint="33"/>
          </w:tcPr>
          <w:p w14:paraId="57BEE62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089BFC7" w14:textId="77777777" w:rsidTr="00576563">
        <w:tc>
          <w:tcPr>
            <w:tcW w:w="1730" w:type="dxa"/>
          </w:tcPr>
          <w:p w14:paraId="3DD09293" w14:textId="5EB4B35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0593EFA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B01959D" w14:textId="77777777" w:rsidR="004000B8" w:rsidRPr="00332B53" w:rsidRDefault="00173A42" w:rsidP="00173A42">
            <w:pPr>
              <w:pStyle w:val="BodyText"/>
              <w:numPr>
                <w:ilvl w:val="0"/>
                <w:numId w:val="6"/>
              </w:numPr>
              <w:rPr>
                <w:rFonts w:asciiTheme="minorHAnsi" w:hAnsiTheme="minorHAnsi" w:cstheme="minorHAnsi"/>
                <w:bCs/>
                <w:sz w:val="22"/>
                <w:szCs w:val="22"/>
              </w:rPr>
            </w:pPr>
            <w:r w:rsidRPr="00332B53">
              <w:rPr>
                <w:rFonts w:asciiTheme="minorHAnsi" w:hAnsiTheme="minorHAnsi" w:cstheme="minorHAnsi"/>
                <w:bCs/>
                <w:sz w:val="22"/>
                <w:szCs w:val="22"/>
              </w:rPr>
              <w:t>It is not clear to us whether the Flexibility Market Price will be the highest of any Distribution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Flexibility Services across the DNO’s full license area or for more granular network areas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(which would be a more accurate representation of the cost to curtail generators in a</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particular area). We believe that using the highest cost of procured flexibility services in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network area local to the proposed flexible connection will be the best comparator of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alternative cost to manage constraints in the given area vs exceeding a generator's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curtailment limit. If the highest distribution flexibility service across the DNO’s full licence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area is used then we agree that the 95th percentile should be used to remove any extreme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outliers. However, if more local flexibility service prices are used then there is less need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remove outliers as these more locationally specific costs should better reflect the true value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of contracting services in particular locations.</w:t>
            </w:r>
          </w:p>
          <w:p w14:paraId="4E2B3ADE" w14:textId="77777777" w:rsidR="00173A42" w:rsidRPr="00332B53" w:rsidRDefault="00173A42" w:rsidP="00173A42">
            <w:pPr>
              <w:pStyle w:val="BodyText"/>
              <w:numPr>
                <w:ilvl w:val="0"/>
                <w:numId w:val="6"/>
              </w:numPr>
              <w:rPr>
                <w:rFonts w:asciiTheme="minorHAnsi" w:hAnsiTheme="minorHAnsi" w:cstheme="minorHAnsi"/>
                <w:bCs/>
                <w:sz w:val="22"/>
                <w:szCs w:val="22"/>
              </w:rPr>
            </w:pPr>
            <w:r w:rsidRPr="00332B53">
              <w:rPr>
                <w:rFonts w:asciiTheme="minorHAnsi" w:hAnsiTheme="minorHAnsi" w:cstheme="minorHAnsi"/>
                <w:bCs/>
                <w:sz w:val="22"/>
                <w:szCs w:val="22"/>
              </w:rPr>
              <w:t>We do not believe post-fault services should be excluded. We expect that DNOs would need</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to breach a curtailment limit for post-fault services far more frequently than for pre-fault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services. Pre-fault services are known and DNOs should be using other tools to manage these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constraints ahead of time. Postfault services are unexpected and rare - and this is when we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expect DNOs may occasionally have to breach</w:t>
            </w:r>
          </w:p>
          <w:p w14:paraId="175E1391" w14:textId="3451020D" w:rsidR="00173A42" w:rsidRPr="00332B53" w:rsidRDefault="00173A42" w:rsidP="00173A42">
            <w:pPr>
              <w:pStyle w:val="BodyText"/>
              <w:numPr>
                <w:ilvl w:val="0"/>
                <w:numId w:val="6"/>
              </w:numPr>
              <w:rPr>
                <w:rFonts w:asciiTheme="minorHAnsi" w:hAnsiTheme="minorHAnsi" w:cstheme="minorHAnsi"/>
                <w:bCs/>
                <w:sz w:val="22"/>
                <w:szCs w:val="22"/>
              </w:rPr>
            </w:pPr>
            <w:r w:rsidRPr="00332B53">
              <w:rPr>
                <w:rFonts w:asciiTheme="minorHAnsi" w:hAnsiTheme="minorHAnsi" w:cstheme="minorHAnsi"/>
                <w:bCs/>
                <w:sz w:val="22"/>
                <w:szCs w:val="22"/>
              </w:rPr>
              <w:lastRenderedPageBreak/>
              <w:t>We are happy with the proposal to use the two preceding regulatory years as the period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review to determine the Exceeded Curtailment Price.</w:t>
            </w:r>
          </w:p>
        </w:tc>
        <w:tc>
          <w:tcPr>
            <w:tcW w:w="3752" w:type="dxa"/>
            <w:shd w:val="clear" w:color="auto" w:fill="E2EFD9" w:themeFill="accent6" w:themeFillTint="33"/>
          </w:tcPr>
          <w:p w14:paraId="0F216E1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31603E1" w14:textId="77777777" w:rsidTr="00576563">
        <w:tc>
          <w:tcPr>
            <w:tcW w:w="1730" w:type="dxa"/>
          </w:tcPr>
          <w:p w14:paraId="2684FC7E" w14:textId="5550D75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56D721F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6C5902B" w14:textId="77777777" w:rsidR="001F67DB" w:rsidRPr="00332B53" w:rsidRDefault="001F67DB" w:rsidP="001F67DB">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Outliers should be excluded, especially considering the example provided. There could be the opportunity of gaming if the maximum price is always used. The suggested 95th percentile seems a reasonable compromise.</w:t>
            </w:r>
          </w:p>
          <w:p w14:paraId="1438C69F" w14:textId="77777777" w:rsidR="001F67DB" w:rsidRPr="00332B53" w:rsidRDefault="001F67DB" w:rsidP="001F67DB">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Excluding post-fault products seems reasonable</w:t>
            </w:r>
          </w:p>
          <w:p w14:paraId="164024A2" w14:textId="6128851F" w:rsidR="004000B8" w:rsidRPr="00332B53" w:rsidRDefault="001F67DB" w:rsidP="001F67DB">
            <w:pPr>
              <w:pStyle w:val="BodyText"/>
              <w:rPr>
                <w:rFonts w:asciiTheme="minorHAnsi" w:hAnsiTheme="minorHAnsi" w:cstheme="minorHAnsi"/>
                <w:bCs/>
                <w:sz w:val="22"/>
                <w:szCs w:val="22"/>
              </w:rPr>
            </w:pPr>
            <w:r w:rsidRPr="00332B53">
              <w:rPr>
                <w:rFonts w:asciiTheme="minorHAnsi" w:hAnsiTheme="minorHAnsi" w:cstheme="minorHAnsi"/>
                <w:bCs/>
                <w:sz w:val="22"/>
                <w:szCs w:val="22"/>
              </w:rPr>
              <w:t>c)</w:t>
            </w:r>
            <w:r w:rsidRPr="00332B53">
              <w:rPr>
                <w:rFonts w:asciiTheme="minorHAnsi" w:hAnsiTheme="minorHAnsi" w:cstheme="minorHAnsi"/>
                <w:bCs/>
                <w:sz w:val="22"/>
                <w:szCs w:val="22"/>
              </w:rPr>
              <w:tab/>
              <w:t>Using current year and prior 2 years seems the right approach.  As flexibility competition options increase prices should fall over time, therefore curtailed customers would have some price protection and stability. If competition doesn’t materialise then using a 3 year period would provide price stability and have an element of “forecast” as opposed to just current year charge which may be volatile.</w:t>
            </w:r>
          </w:p>
        </w:tc>
        <w:tc>
          <w:tcPr>
            <w:tcW w:w="3752" w:type="dxa"/>
            <w:shd w:val="clear" w:color="auto" w:fill="E2EFD9" w:themeFill="accent6" w:themeFillTint="33"/>
          </w:tcPr>
          <w:p w14:paraId="35CA0B08"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5EC426F" w14:textId="77777777" w:rsidTr="00576563">
        <w:tc>
          <w:tcPr>
            <w:tcW w:w="1730" w:type="dxa"/>
          </w:tcPr>
          <w:p w14:paraId="3497BEE4" w14:textId="5C5D5043"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3C83025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6019AC7" w14:textId="72274B18"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No services should be excluded. If some services are excluded, this creates the possibility that it will be cheaper for DNOs to manage the network (include non-active power issues) by manipulating consumer load, rather than go to the market. </w:t>
            </w:r>
            <w:proofErr w:type="gramStart"/>
            <w:r w:rsidRPr="00332B53">
              <w:rPr>
                <w:rFonts w:asciiTheme="minorHAnsi" w:hAnsiTheme="minorHAnsi" w:cstheme="minorHAnsi"/>
                <w:bCs/>
                <w:sz w:val="22"/>
                <w:szCs w:val="22"/>
                <w:lang w:val="en-GB"/>
              </w:rPr>
              <w:t>In order to</w:t>
            </w:r>
            <w:proofErr w:type="gramEnd"/>
            <w:r w:rsidRPr="00332B53">
              <w:rPr>
                <w:rFonts w:asciiTheme="minorHAnsi" w:hAnsiTheme="minorHAnsi" w:cstheme="minorHAnsi"/>
                <w:bCs/>
                <w:sz w:val="22"/>
                <w:szCs w:val="22"/>
                <w:lang w:val="en-GB"/>
              </w:rPr>
              <w:t xml:space="preserve"> meet the direction, the Flexibility Market Price should be based off the highest possible price in the local market(s). To do otherwise would mean the Exceeded Curtailment Price is not ‘markedly’ higher.</w:t>
            </w:r>
          </w:p>
          <w:p w14:paraId="369BCD30" w14:textId="17016B0A"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The argument that DUoS customers in general would be harmed by high recovered costs suggests that DNOs believe they are likely to exceed curtailment levels to a significant degree, which would harm both the individual being curtailed and wider customers. This would be in breach of </w:t>
            </w:r>
            <w:r w:rsidRPr="00332B53">
              <w:rPr>
                <w:rFonts w:asciiTheme="minorHAnsi" w:hAnsiTheme="minorHAnsi" w:cstheme="minorHAnsi"/>
                <w:bCs/>
                <w:sz w:val="22"/>
                <w:szCs w:val="22"/>
                <w:lang w:val="en-GB"/>
              </w:rPr>
              <w:lastRenderedPageBreak/>
              <w:t>their licence condition to manage the network in an economically efficient manner.</w:t>
            </w:r>
          </w:p>
          <w:p w14:paraId="121B7EE3" w14:textId="77777777" w:rsidR="004000B8" w:rsidRPr="00332B53" w:rsidRDefault="004000B8" w:rsidP="004000B8">
            <w:pPr>
              <w:pStyle w:val="BodyText"/>
              <w:rPr>
                <w:rFonts w:asciiTheme="minorHAnsi" w:hAnsiTheme="minorHAnsi" w:cstheme="minorHAnsi"/>
                <w:bCs/>
                <w:sz w:val="22"/>
                <w:szCs w:val="22"/>
                <w:lang w:val="en-GB"/>
              </w:rPr>
            </w:pPr>
          </w:p>
          <w:p w14:paraId="08FE0227" w14:textId="43DF72C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As with other aspects of this modification, the proposed </w:t>
            </w:r>
            <w:proofErr w:type="gramStart"/>
            <w:r w:rsidRPr="00332B53">
              <w:rPr>
                <w:rFonts w:asciiTheme="minorHAnsi" w:hAnsiTheme="minorHAnsi" w:cstheme="minorHAnsi"/>
                <w:bCs/>
                <w:sz w:val="22"/>
                <w:szCs w:val="22"/>
                <w:lang w:val="en-GB"/>
              </w:rPr>
              <w:t>time period</w:t>
            </w:r>
            <w:proofErr w:type="gramEnd"/>
            <w:r w:rsidRPr="00332B53">
              <w:rPr>
                <w:rFonts w:asciiTheme="minorHAnsi" w:hAnsiTheme="minorHAnsi" w:cstheme="minorHAnsi"/>
                <w:bCs/>
                <w:sz w:val="22"/>
                <w:szCs w:val="22"/>
                <w:lang w:val="en-GB"/>
              </w:rPr>
              <w:t xml:space="preserve"> is pragmatic, but may need adjusting at a later date as flexibility markets develop.</w:t>
            </w:r>
          </w:p>
        </w:tc>
        <w:tc>
          <w:tcPr>
            <w:tcW w:w="3752" w:type="dxa"/>
            <w:shd w:val="clear" w:color="auto" w:fill="E2EFD9" w:themeFill="accent6" w:themeFillTint="33"/>
          </w:tcPr>
          <w:p w14:paraId="13A54246"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6F9DDCC6" w14:textId="77777777" w:rsidTr="00576563">
        <w:tc>
          <w:tcPr>
            <w:tcW w:w="1730" w:type="dxa"/>
          </w:tcPr>
          <w:p w14:paraId="7B7960B4" w14:textId="02DCFC2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A7FCA9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666E2AA"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 xml:space="preserve">The flexibility market price should not be the “highest of any Distribution Flexibility Service” and outliers should be excluded.  Occasionally, DNOs may contract with providers for services that are only required for a very short period, allowing a premium to be paid whilst still meeting the economic test.  Using such a price to set a rate to apply to all exceeded curtailment events for any connecting customer at any location and for an unknown (unlimited) number of hours could result in large payments being made to connecting customers.  The suggestion to use 95th percentile is one approach which would remove outliers. </w:t>
            </w:r>
          </w:p>
          <w:p w14:paraId="041244D7"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The flexibility services that would be procured to manage the constraint would be pre-fault based on system intact conditions (interruptions due to faults are excluded as per Ofgem’s decisions) therefore it is appropriate that the utilisation rates for pre fault services should only be included.   It should also be clear that any trials or innovation projects that include contracts being placed for flexibility services are also excluded as they may include, for example, facilitation payments which may inflate the values and therefore not reflect the market rates.</w:t>
            </w:r>
          </w:p>
          <w:p w14:paraId="138C87D5" w14:textId="0FBC8A7C"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(c)</w:t>
            </w:r>
            <w:r w:rsidRPr="00332B53">
              <w:rPr>
                <w:rFonts w:asciiTheme="minorHAnsi" w:hAnsiTheme="minorHAnsi" w:cstheme="minorHAnsi"/>
                <w:bCs/>
                <w:sz w:val="22"/>
                <w:szCs w:val="22"/>
              </w:rPr>
              <w:tab/>
              <w:t xml:space="preserve">We do not consider it appropriate to base the price on the previous two years of contracts, they should be the based on the contracts for the year in which the curtailment occurs as this will ensure the latest market </w:t>
            </w:r>
            <w:r w:rsidRPr="00332B53">
              <w:rPr>
                <w:rFonts w:asciiTheme="minorHAnsi" w:hAnsiTheme="minorHAnsi" w:cstheme="minorHAnsi"/>
                <w:bCs/>
                <w:sz w:val="22"/>
                <w:szCs w:val="22"/>
              </w:rPr>
              <w:lastRenderedPageBreak/>
              <w:t xml:space="preserve">price is reflected.  This is certainly important during these early years as the Distribution Flexibility markets evolve and when different approaches and frameworks are being tested and applied.   </w:t>
            </w:r>
          </w:p>
        </w:tc>
        <w:tc>
          <w:tcPr>
            <w:tcW w:w="3752" w:type="dxa"/>
            <w:shd w:val="clear" w:color="auto" w:fill="E2EFD9" w:themeFill="accent6" w:themeFillTint="33"/>
          </w:tcPr>
          <w:p w14:paraId="1143C30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454DCF9" w14:textId="77777777" w:rsidTr="00576563">
        <w:tc>
          <w:tcPr>
            <w:tcW w:w="1730" w:type="dxa"/>
          </w:tcPr>
          <w:p w14:paraId="58327CEF" w14:textId="72C10CA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23EFC86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321B40"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a) We note a concern raised during Working Group discussions that outliers could lead to DUoS payers having to bear unjustifiably high costs in the event of a curtailment limit being exceeded.</w:t>
            </w:r>
          </w:p>
          <w:p w14:paraId="694C34FF"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However, we consider that the inclusion of high prices is entirely within Ofgem’s intent to create an Exceeded Curtailment Price which acts as a disincentive to distributors to exceed curtailment limits, in which case DUoS payers would never have to bear the cost of the Exceeded Curtailment Price. Hence we don’t support the exclusion of outliers.</w:t>
            </w:r>
          </w:p>
          <w:p w14:paraId="2B9A172B"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In addition, we note that the term ‘outlier’ has not been defined in the context of this proposal. Excluding the top 5% of flexibility price data is not a robust, reliable method of excluding ‘outliers’ which may or may not lie in the top 5%. Non-outliers may be excluded by this approach which would have no justification.</w:t>
            </w:r>
          </w:p>
          <w:p w14:paraId="5177A21D"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wondering whether the issue of outliers only arises with post-fault products (i.e. the dynamic and the restore products) which, we agree, should be excluded in the determination of the market price for flexibility. If the former is true, and the latter is agreed, then the outlier issue would have been addressed.</w:t>
            </w:r>
          </w:p>
          <w:p w14:paraId="75931609"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b) The consultation document suggests that ex-post flexibility products should be excluded when assessing the market price for flexibility (i.e. currently the ‘dynamic’ and the ‘restore’ products). We agree with the principle of this approach, as argued in para [4.30], based on Ofgem’s decision which confirms that exceeded curtailment limits do not include </w:t>
            </w:r>
            <w:r w:rsidRPr="00332B53">
              <w:rPr>
                <w:rFonts w:asciiTheme="minorHAnsi" w:hAnsiTheme="minorHAnsi" w:cstheme="minorHAnsi"/>
                <w:bCs/>
                <w:sz w:val="22"/>
                <w:szCs w:val="22"/>
              </w:rPr>
              <w:lastRenderedPageBreak/>
              <w:t>interruptions and some types of faults on the network, therefore it is not appropriate to include such products when setting the exceeded curtailment price.</w:t>
            </w:r>
          </w:p>
          <w:p w14:paraId="40E8AAC8" w14:textId="26C15FDE" w:rsidR="004000B8"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c) We don’t feel that para 6.4 is sufficiently clear in setting out the proposed methodology to enable us to answer this question. We would welcome a worked example, and a review of the wording – see our response to question 18.</w:t>
            </w:r>
          </w:p>
        </w:tc>
        <w:tc>
          <w:tcPr>
            <w:tcW w:w="3752" w:type="dxa"/>
            <w:shd w:val="clear" w:color="auto" w:fill="E2EFD9" w:themeFill="accent6" w:themeFillTint="33"/>
          </w:tcPr>
          <w:p w14:paraId="38EC827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11B55A6" w14:textId="77777777" w:rsidTr="00576563">
        <w:tc>
          <w:tcPr>
            <w:tcW w:w="1730" w:type="dxa"/>
          </w:tcPr>
          <w:p w14:paraId="26C012BC" w14:textId="7310136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19B7EE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939420C" w14:textId="77777777" w:rsidR="00745814" w:rsidRPr="00332B53" w:rsidRDefault="00745814" w:rsidP="00745814">
            <w:pPr>
              <w:pStyle w:val="BodyText"/>
              <w:rPr>
                <w:rFonts w:asciiTheme="minorHAnsi" w:hAnsiTheme="minorHAnsi" w:cstheme="minorHAnsi"/>
                <w:bCs/>
                <w:sz w:val="22"/>
                <w:szCs w:val="22"/>
              </w:rPr>
            </w:pPr>
            <w:r w:rsidRPr="00332B53">
              <w:rPr>
                <w:rFonts w:asciiTheme="minorHAnsi" w:hAnsiTheme="minorHAnsi" w:cstheme="minorHAnsi"/>
                <w:bCs/>
                <w:sz w:val="22"/>
                <w:szCs w:val="22"/>
              </w:rPr>
              <w:t>a) As with our answer to Q13, there is a risk that exceptionally high exceeded curtailment prices distort wider efficient network design.  We believe the most extreme prices from the DSA-wide should be excluded from an assessment of exceeded curtailment price - perhaps by disregarding prices greater than 2 standard deviations of the total prices contracted or tendered in the period.</w:t>
            </w:r>
          </w:p>
          <w:p w14:paraId="44A78BF8" w14:textId="77777777" w:rsidR="00745814" w:rsidRPr="00332B53" w:rsidRDefault="00745814" w:rsidP="00745814">
            <w:pPr>
              <w:pStyle w:val="BodyText"/>
              <w:rPr>
                <w:rFonts w:asciiTheme="minorHAnsi" w:hAnsiTheme="minorHAnsi" w:cstheme="minorHAnsi"/>
                <w:bCs/>
                <w:sz w:val="22"/>
                <w:szCs w:val="22"/>
              </w:rPr>
            </w:pPr>
            <w:r w:rsidRPr="00332B53">
              <w:rPr>
                <w:rFonts w:asciiTheme="minorHAnsi" w:hAnsiTheme="minorHAnsi" w:cstheme="minorHAnsi"/>
                <w:bCs/>
                <w:sz w:val="22"/>
                <w:szCs w:val="22"/>
              </w:rPr>
              <w:t>b) It is important that equivalence is maintained between reinforcement (i.e. sized to meet system intact/pre-fault capacity), curtailment (i.e. as needed to meet system intact/pre-fault capacity) and the flexibility services referenced in price calculations.  Post fault flexibility services (such as 'Restore' and 'Dynamic') should be excluded as these are not equivalent activities.</w:t>
            </w:r>
          </w:p>
          <w:p w14:paraId="35603E22" w14:textId="6AB1791D" w:rsidR="004000B8" w:rsidRPr="00332B53" w:rsidRDefault="00745814" w:rsidP="00745814">
            <w:pPr>
              <w:pStyle w:val="BodyText"/>
              <w:rPr>
                <w:rFonts w:asciiTheme="minorHAnsi" w:hAnsiTheme="minorHAnsi" w:cstheme="minorHAnsi"/>
                <w:bCs/>
                <w:sz w:val="22"/>
                <w:szCs w:val="22"/>
              </w:rPr>
            </w:pPr>
            <w:r w:rsidRPr="00332B53">
              <w:rPr>
                <w:rFonts w:asciiTheme="minorHAnsi" w:hAnsiTheme="minorHAnsi" w:cstheme="minorHAnsi"/>
                <w:bCs/>
                <w:sz w:val="22"/>
                <w:szCs w:val="22"/>
              </w:rPr>
              <w:t>c) Flexibility services are undergoing rapid development and we believe price calculations should be made with reference only to those contracts that are available within the same regulatory year as the price that is being set.</w:t>
            </w:r>
          </w:p>
        </w:tc>
        <w:tc>
          <w:tcPr>
            <w:tcW w:w="3752" w:type="dxa"/>
            <w:shd w:val="clear" w:color="auto" w:fill="E2EFD9" w:themeFill="accent6" w:themeFillTint="33"/>
          </w:tcPr>
          <w:p w14:paraId="483C6C8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641A21B" w14:textId="77777777" w:rsidTr="00576563">
        <w:tc>
          <w:tcPr>
            <w:tcW w:w="1730" w:type="dxa"/>
          </w:tcPr>
          <w:p w14:paraId="174FA37D" w14:textId="4AC53CF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53FB80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0F16913"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a) Ofgem’s Direction states:</w:t>
            </w:r>
          </w:p>
          <w:p w14:paraId="5858CF33"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“The Exceeded Curtailment Price should:</w:t>
            </w:r>
          </w:p>
          <w:p w14:paraId="6211B470"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a) be sufficiently high so that network operators are disincentivised to exceed the Curtailment Limit.</w:t>
            </w:r>
          </w:p>
          <w:p w14:paraId="5C440F84"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b) be markedly higher than contracted market prices of flexibility in the licence area under the requirements of SLC 31E, or the cost of Reinforcement required to provide a connection where contracted market prices are unavailable.</w:t>
            </w:r>
          </w:p>
          <w:p w14:paraId="3A142B32"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c) be calculated consistently across all network operators.”</w:t>
            </w:r>
          </w:p>
          <w:p w14:paraId="057A1B43"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None of the requirements stated in Ofgem’s Direction above require the Exceeded Curtailment Price (ECP) to be markedly higher than the “highest” or “maximum” market</w:t>
            </w:r>
            <w:r w:rsidRPr="00332B53">
              <w:rPr>
                <w:rFonts w:asciiTheme="minorHAnsi" w:hAnsiTheme="minorHAnsi" w:cstheme="minorHAnsi"/>
                <w:bCs/>
                <w:sz w:val="22"/>
                <w:szCs w:val="22"/>
                <w:lang w:val="en-GB"/>
              </w:rPr>
              <w:t xml:space="preserve"> price. The requirements of part a) and part b) from the Direction can both be met if the ECP is markedly higher than the typical or average price contracted from the market. In these circumstances the network company would still be incentivised to approach the market as they will still, </w:t>
            </w:r>
            <w:proofErr w:type="gramStart"/>
            <w:r w:rsidRPr="00332B53">
              <w:rPr>
                <w:rFonts w:asciiTheme="minorHAnsi" w:hAnsiTheme="minorHAnsi" w:cstheme="minorHAnsi"/>
                <w:bCs/>
                <w:sz w:val="22"/>
                <w:szCs w:val="22"/>
                <w:lang w:val="en-GB"/>
              </w:rPr>
              <w:t>more often than not</w:t>
            </w:r>
            <w:proofErr w:type="gramEnd"/>
            <w:r w:rsidRPr="00332B53">
              <w:rPr>
                <w:rFonts w:asciiTheme="minorHAnsi" w:hAnsiTheme="minorHAnsi" w:cstheme="minorHAnsi"/>
                <w:bCs/>
                <w:sz w:val="22"/>
                <w:szCs w:val="22"/>
                <w:lang w:val="en-GB"/>
              </w:rPr>
              <w:t>, be able to achieve a price lower than the ECP. It should also be remembered that this is in the context of network companies already being under an obligation to procure flexibility from the market regardless under SLC 31E.</w:t>
            </w:r>
          </w:p>
          <w:p w14:paraId="38749D9A"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Under the proposed interpretation of the Direction (</w:t>
            </w:r>
            <w:proofErr w:type="gramStart"/>
            <w:r w:rsidRPr="00332B53">
              <w:rPr>
                <w:rFonts w:asciiTheme="minorHAnsi" w:hAnsiTheme="minorHAnsi" w:cstheme="minorHAnsi"/>
                <w:bCs/>
                <w:sz w:val="22"/>
                <w:szCs w:val="22"/>
                <w:lang w:val="en-GB"/>
              </w:rPr>
              <w:t>i.e.</w:t>
            </w:r>
            <w:proofErr w:type="gramEnd"/>
            <w:r w:rsidRPr="00332B53">
              <w:rPr>
                <w:rFonts w:asciiTheme="minorHAnsi" w:hAnsiTheme="minorHAnsi" w:cstheme="minorHAnsi"/>
                <w:bCs/>
                <w:sz w:val="22"/>
                <w:szCs w:val="22"/>
                <w:lang w:val="en-GB"/>
              </w:rPr>
              <w:t xml:space="preserve"> using the highest price) there is a risk that the ECP will be set using a high price that was contracted with a provider in a limited set of circumstances which is likely to have been contracted for only very low volumes.</w:t>
            </w:r>
          </w:p>
          <w:p w14:paraId="6CCEE2A0"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For example, UK Power Networks have adopted a procurement approach that uses an overall project “budget” per constraint which can be met with a “stack” of the most efficient bids. This means that a constraint may be almost entirely resolved with flexibility services procured at low prices leaving the balance of the “budget” available to procure the remaining small </w:t>
            </w:r>
            <w:r w:rsidRPr="00332B53">
              <w:rPr>
                <w:rFonts w:asciiTheme="minorHAnsi" w:hAnsiTheme="minorHAnsi" w:cstheme="minorHAnsi"/>
                <w:bCs/>
                <w:sz w:val="22"/>
                <w:szCs w:val="22"/>
                <w:lang w:val="en-GB"/>
              </w:rPr>
              <w:lastRenderedPageBreak/>
              <w:t>volume required. If the next bids available to fill this last remaining requirement are high but within budget overall, they will be accepted even if they appear to be a high price per unit in isolation.</w:t>
            </w:r>
          </w:p>
          <w:p w14:paraId="57D9117B"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While this may lead to high unit prices being contracted, it ensures that the overall “stack” of flex procured is always an efficient alternative to the alternative option (</w:t>
            </w:r>
            <w:proofErr w:type="gramStart"/>
            <w:r w:rsidRPr="00332B53">
              <w:rPr>
                <w:rFonts w:asciiTheme="minorHAnsi" w:hAnsiTheme="minorHAnsi" w:cstheme="minorHAnsi"/>
                <w:bCs/>
                <w:sz w:val="22"/>
                <w:szCs w:val="22"/>
                <w:lang w:val="en-GB"/>
              </w:rPr>
              <w:t>e.g.</w:t>
            </w:r>
            <w:proofErr w:type="gramEnd"/>
            <w:r w:rsidRPr="00332B53">
              <w:rPr>
                <w:rFonts w:asciiTheme="minorHAnsi" w:hAnsiTheme="minorHAnsi" w:cstheme="minorHAnsi"/>
                <w:bCs/>
                <w:sz w:val="22"/>
                <w:szCs w:val="22"/>
                <w:lang w:val="en-GB"/>
              </w:rPr>
              <w:t xml:space="preserve"> reinforcement) which, in turn, ensures value for customers. Another benefit of this approach is that it helps provide certainty to these nascent markets.</w:t>
            </w:r>
          </w:p>
          <w:p w14:paraId="3D80712D" w14:textId="477AC36D"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Applying these low volume, high prices to a very general situation such as exceeding a limit which has been set statistically is not reasonable and is very unlikely to reflect the value of the excess curtailment to the customer or the distribution system. The chart below shows the distribution of prices for contracted flexibility in UK Power Networks’ areas. </w:t>
            </w:r>
            <w:proofErr w:type="gramStart"/>
            <w:r w:rsidRPr="00332B53">
              <w:rPr>
                <w:rFonts w:asciiTheme="minorHAnsi" w:hAnsiTheme="minorHAnsi" w:cstheme="minorHAnsi"/>
                <w:bCs/>
                <w:sz w:val="22"/>
                <w:szCs w:val="22"/>
                <w:lang w:val="en-GB"/>
              </w:rPr>
              <w:t>It is clear that taking</w:t>
            </w:r>
            <w:proofErr w:type="gramEnd"/>
            <w:r w:rsidRPr="00332B53">
              <w:rPr>
                <w:rFonts w:asciiTheme="minorHAnsi" w:hAnsiTheme="minorHAnsi" w:cstheme="minorHAnsi"/>
                <w:bCs/>
                <w:sz w:val="22"/>
                <w:szCs w:val="22"/>
                <w:lang w:val="en-GB"/>
              </w:rPr>
              <w:t xml:space="preserve"> the highest price is not reflective of the vast majority of prices for flexibility procured from the market and therefore not reflective of the general value of such flexibility.</w:t>
            </w:r>
          </w:p>
          <w:p w14:paraId="4BA80B75" w14:textId="48EE6C3D"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noProof/>
                <w:sz w:val="22"/>
                <w:szCs w:val="22"/>
              </w:rPr>
              <w:drawing>
                <wp:inline distT="0" distB="0" distL="0" distR="0" wp14:anchorId="00C5D961" wp14:editId="492740CA">
                  <wp:extent cx="2885909" cy="14895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1109" cy="1492185"/>
                          </a:xfrm>
                          <a:prstGeom prst="rect">
                            <a:avLst/>
                          </a:prstGeom>
                          <a:noFill/>
                          <a:ln>
                            <a:noFill/>
                          </a:ln>
                        </pic:spPr>
                      </pic:pic>
                    </a:graphicData>
                  </a:graphic>
                </wp:inline>
              </w:drawing>
            </w:r>
          </w:p>
          <w:p w14:paraId="08069AEE" w14:textId="77777777" w:rsidR="004000B8"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lastRenderedPageBreak/>
              <w:t>Although network companies will use reasonable endeavours to avoid curtailment exceeding the agreed limit, these limits will have been set using a statistical assessment.</w:t>
            </w:r>
          </w:p>
          <w:p w14:paraId="6D5CFD39"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Therefore, it is reasonable to assume that curtailment will, in some circumstances, exceed the limit. We believe that the arrangements for what happens when curtailment exceeds the limit should be reasonable and reflect the value being provided o the system and balance the risk between connecting and DUoS customers.</w:t>
            </w:r>
          </w:p>
          <w:p w14:paraId="236B6081"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Therefore, we propose the following alternative approach which meets </w:t>
            </w:r>
            <w:proofErr w:type="gramStart"/>
            <w:r w:rsidRPr="00332B53">
              <w:rPr>
                <w:rFonts w:asciiTheme="minorHAnsi" w:hAnsiTheme="minorHAnsi" w:cstheme="minorHAnsi"/>
                <w:bCs/>
                <w:sz w:val="22"/>
                <w:szCs w:val="22"/>
                <w:lang w:val="en-GB"/>
              </w:rPr>
              <w:t>all of</w:t>
            </w:r>
            <w:proofErr w:type="gramEnd"/>
            <w:r w:rsidRPr="00332B53">
              <w:rPr>
                <w:rFonts w:asciiTheme="minorHAnsi" w:hAnsiTheme="minorHAnsi" w:cstheme="minorHAnsi"/>
                <w:bCs/>
                <w:sz w:val="22"/>
                <w:szCs w:val="22"/>
                <w:lang w:val="en-GB"/>
              </w:rPr>
              <w:t xml:space="preserve"> Ofgem’s requirements under the Direction without exposing DUoS paying customers to the risk of the ECP being set in way that leads to high overall costs.</w:t>
            </w:r>
          </w:p>
          <w:p w14:paraId="696204CF"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Proposed alternative approach</w:t>
            </w:r>
          </w:p>
          <w:p w14:paraId="705F7221"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Our alternative proposal is to use the 95th percentile of the contracted prices for the secure and dynamic flexibility services in the previous 12 months.</w:t>
            </w:r>
          </w:p>
          <w:p w14:paraId="42E08ED0"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We believe this meets Ofgem’s criteria </w:t>
            </w:r>
            <w:proofErr w:type="gramStart"/>
            <w:r w:rsidRPr="00332B53">
              <w:rPr>
                <w:rFonts w:asciiTheme="minorHAnsi" w:hAnsiTheme="minorHAnsi" w:cstheme="minorHAnsi"/>
                <w:bCs/>
                <w:sz w:val="22"/>
                <w:szCs w:val="22"/>
                <w:lang w:val="en-GB"/>
              </w:rPr>
              <w:t>and also</w:t>
            </w:r>
            <w:proofErr w:type="gramEnd"/>
            <w:r w:rsidRPr="00332B53">
              <w:rPr>
                <w:rFonts w:asciiTheme="minorHAnsi" w:hAnsiTheme="minorHAnsi" w:cstheme="minorHAnsi"/>
                <w:bCs/>
                <w:sz w:val="22"/>
                <w:szCs w:val="22"/>
                <w:lang w:val="en-GB"/>
              </w:rPr>
              <w:t xml:space="preserve"> achieves an efficient outcome as demonstrated in the table below:</w:t>
            </w:r>
          </w:p>
          <w:p w14:paraId="4EC6ACA8" w14:textId="0E8A9481"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noProof/>
                <w:sz w:val="22"/>
                <w:szCs w:val="22"/>
              </w:rPr>
              <w:lastRenderedPageBreak/>
              <w:drawing>
                <wp:inline distT="0" distB="0" distL="0" distR="0" wp14:anchorId="336D763F" wp14:editId="63F3798A">
                  <wp:extent cx="3562350" cy="2733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2733675"/>
                          </a:xfrm>
                          <a:prstGeom prst="rect">
                            <a:avLst/>
                          </a:prstGeom>
                          <a:noFill/>
                        </pic:spPr>
                      </pic:pic>
                    </a:graphicData>
                  </a:graphic>
                </wp:inline>
              </w:drawing>
            </w:r>
          </w:p>
          <w:p w14:paraId="79AB3038"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By its nature, using the 95th percentile means that network companies will, in general terms, get a lower price from the market 95% of the time. This maintains the incentive on network companies to seek flexibility from the market in situations where curtailment is likely to exceed the cap rather than simply defaulting to exceeding the limit and paying the ECP.</w:t>
            </w:r>
          </w:p>
          <w:p w14:paraId="3EBF637F" w14:textId="77777777" w:rsidR="00B105CC" w:rsidRPr="00332B53" w:rsidRDefault="00B105CC" w:rsidP="00B105C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We have proposed secure and dynamic services as these are the most likely to be used to manage curtailment constraints. Restore and sustain have very different applications.</w:t>
            </w:r>
          </w:p>
          <w:p w14:paraId="357332EE" w14:textId="77777777" w:rsidR="00FC694B" w:rsidRPr="00332B53" w:rsidRDefault="00FC694B" w:rsidP="00FC694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We believe market prices over a </w:t>
            </w:r>
            <w:proofErr w:type="gramStart"/>
            <w:r w:rsidRPr="00332B53">
              <w:rPr>
                <w:rFonts w:asciiTheme="minorHAnsi" w:hAnsiTheme="minorHAnsi" w:cstheme="minorHAnsi"/>
                <w:bCs/>
                <w:sz w:val="22"/>
                <w:szCs w:val="22"/>
                <w:lang w:val="en-GB"/>
              </w:rPr>
              <w:t>12 month</w:t>
            </w:r>
            <w:proofErr w:type="gramEnd"/>
            <w:r w:rsidRPr="00332B53">
              <w:rPr>
                <w:rFonts w:asciiTheme="minorHAnsi" w:hAnsiTheme="minorHAnsi" w:cstheme="minorHAnsi"/>
                <w:bCs/>
                <w:sz w:val="22"/>
                <w:szCs w:val="22"/>
                <w:lang w:val="en-GB"/>
              </w:rPr>
              <w:t xml:space="preserve"> period should be used in the assessment to calculate the ECP.</w:t>
            </w:r>
          </w:p>
          <w:p w14:paraId="588367D7" w14:textId="1F75B63F" w:rsidR="00B105CC" w:rsidRPr="00332B53" w:rsidRDefault="00FC694B" w:rsidP="00FC694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lastRenderedPageBreak/>
              <w:t xml:space="preserve">The markets from which these prices are obtained are still nascent and are expected to see significant development over the early period of the Access SCR arrangements being implemented. To use a </w:t>
            </w:r>
            <w:proofErr w:type="gramStart"/>
            <w:r w:rsidRPr="00332B53">
              <w:rPr>
                <w:rFonts w:asciiTheme="minorHAnsi" w:hAnsiTheme="minorHAnsi" w:cstheme="minorHAnsi"/>
                <w:bCs/>
                <w:sz w:val="22"/>
                <w:szCs w:val="22"/>
                <w:lang w:val="en-GB"/>
              </w:rPr>
              <w:t>three year</w:t>
            </w:r>
            <w:proofErr w:type="gramEnd"/>
            <w:r w:rsidRPr="00332B53">
              <w:rPr>
                <w:rFonts w:asciiTheme="minorHAnsi" w:hAnsiTheme="minorHAnsi" w:cstheme="minorHAnsi"/>
                <w:bCs/>
                <w:sz w:val="22"/>
                <w:szCs w:val="22"/>
                <w:lang w:val="en-GB"/>
              </w:rPr>
              <w:t xml:space="preserve"> window as described in the draft legal text would effectively “lock in” some prices for a three year period. This will mean that the ECP will not keep track of potentially fast-moving markets which could lead to an inefficient ECP being set.</w:t>
            </w:r>
          </w:p>
        </w:tc>
        <w:tc>
          <w:tcPr>
            <w:tcW w:w="3752" w:type="dxa"/>
            <w:shd w:val="clear" w:color="auto" w:fill="E2EFD9" w:themeFill="accent6" w:themeFillTint="33"/>
          </w:tcPr>
          <w:p w14:paraId="44337CA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4688881" w14:textId="77777777" w:rsidTr="00576563">
        <w:tc>
          <w:tcPr>
            <w:tcW w:w="1730" w:type="dxa"/>
          </w:tcPr>
          <w:p w14:paraId="28391734" w14:textId="0BC1CFB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313BF63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97C8B5"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A – We believe outliers should be excluded for the ‘highest of any Distribution Flexibility Service’.</w:t>
            </w:r>
          </w:p>
          <w:p w14:paraId="75FBA676" w14:textId="77777777" w:rsidR="00FC694B" w:rsidRPr="00332B53" w:rsidRDefault="00FC694B" w:rsidP="00FC694B">
            <w:pPr>
              <w:pStyle w:val="BodyText"/>
              <w:rPr>
                <w:rFonts w:asciiTheme="minorHAnsi" w:hAnsiTheme="minorHAnsi" w:cstheme="minorHAnsi"/>
                <w:bCs/>
                <w:sz w:val="22"/>
                <w:szCs w:val="22"/>
              </w:rPr>
            </w:pPr>
          </w:p>
          <w:p w14:paraId="522DED7C"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B – The Flexibility services considered should be limited to those that would need to be procured in order to avoid the curtailment in question, which would depend on the constraint.</w:t>
            </w:r>
          </w:p>
          <w:p w14:paraId="46FC882F" w14:textId="77777777" w:rsidR="00FC694B" w:rsidRPr="00332B53" w:rsidRDefault="00FC694B" w:rsidP="00FC694B">
            <w:pPr>
              <w:pStyle w:val="BodyText"/>
              <w:rPr>
                <w:rFonts w:asciiTheme="minorHAnsi" w:hAnsiTheme="minorHAnsi" w:cstheme="minorHAnsi"/>
                <w:bCs/>
                <w:sz w:val="22"/>
                <w:szCs w:val="22"/>
              </w:rPr>
            </w:pPr>
          </w:p>
          <w:p w14:paraId="64616B07" w14:textId="6101609E" w:rsidR="004000B8"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C – Over 12 months, updated quarterly in line with curtailment measurement and reporting requirements.</w:t>
            </w:r>
          </w:p>
        </w:tc>
        <w:tc>
          <w:tcPr>
            <w:tcW w:w="3752" w:type="dxa"/>
            <w:shd w:val="clear" w:color="auto" w:fill="E2EFD9" w:themeFill="accent6" w:themeFillTint="33"/>
          </w:tcPr>
          <w:p w14:paraId="0853DD96"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656566B2" w14:textId="77777777" w:rsidTr="00576563">
        <w:tc>
          <w:tcPr>
            <w:tcW w:w="14081" w:type="dxa"/>
            <w:gridSpan w:val="4"/>
            <w:shd w:val="clear" w:color="auto" w:fill="E2EFD9" w:themeFill="accent6" w:themeFillTint="33"/>
          </w:tcPr>
          <w:p w14:paraId="13BD6F59"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C8441B4" w14:textId="788DD0ED" w:rsidR="00FB5883" w:rsidRDefault="00FB5883">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0267B" w:rsidRPr="007A0F4A" w14:paraId="19E1D06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ED524AB" w14:textId="77777777" w:rsidR="00E0267B" w:rsidRPr="007A0F4A" w:rsidRDefault="00E0267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1ECB2D4" w14:textId="77777777" w:rsidR="00E0267B" w:rsidRPr="007A0F4A" w:rsidRDefault="00E0267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095287C" w14:textId="77777777" w:rsidR="00E0267B" w:rsidRPr="007A0F4A" w:rsidRDefault="00E0267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8B0DD69" w14:textId="11572FD7" w:rsidR="00E0267B" w:rsidRPr="007A0F4A" w:rsidRDefault="00246058">
            <w:pPr>
              <w:pStyle w:val="BodyTextNoSpacing"/>
              <w:numPr>
                <w:ilvl w:val="0"/>
                <w:numId w:val="3"/>
              </w:numPr>
              <w:rPr>
                <w:rFonts w:asciiTheme="minorHAnsi" w:hAnsiTheme="minorHAnsi" w:cstheme="minorHAnsi"/>
                <w:bCs/>
                <w:sz w:val="22"/>
                <w:szCs w:val="22"/>
              </w:rPr>
            </w:pPr>
            <w:r w:rsidRPr="00246058">
              <w:t>Do you believe there are any unintended consequences with respect to the proposed methodology for setting the Exceeded Curtailment Price? If so, then please provide details.</w:t>
            </w:r>
          </w:p>
        </w:tc>
        <w:tc>
          <w:tcPr>
            <w:tcW w:w="3752" w:type="dxa"/>
            <w:shd w:val="clear" w:color="auto" w:fill="E2EFD9" w:themeFill="accent6" w:themeFillTint="33"/>
          </w:tcPr>
          <w:p w14:paraId="242AD2B3" w14:textId="77777777" w:rsidR="00E0267B" w:rsidRPr="007A0F4A" w:rsidRDefault="00E0267B"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3189C28B" w14:textId="77777777" w:rsidTr="00576563">
        <w:tc>
          <w:tcPr>
            <w:tcW w:w="1730" w:type="dxa"/>
          </w:tcPr>
          <w:p w14:paraId="211797F5" w14:textId="0CF92125"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BU-UK</w:t>
            </w:r>
          </w:p>
        </w:tc>
        <w:tc>
          <w:tcPr>
            <w:tcW w:w="1530" w:type="dxa"/>
          </w:tcPr>
          <w:p w14:paraId="212D645A"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56F9C12" w14:textId="31266243"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5C35468"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00BA08A8" w14:textId="77777777" w:rsidTr="00576563">
        <w:tc>
          <w:tcPr>
            <w:tcW w:w="1730" w:type="dxa"/>
          </w:tcPr>
          <w:p w14:paraId="5116895C" w14:textId="51F9E15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8A066A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9046BA" w14:textId="31510580"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75F630C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E0C9DB3" w14:textId="77777777" w:rsidTr="00576563">
        <w:tc>
          <w:tcPr>
            <w:tcW w:w="1730" w:type="dxa"/>
          </w:tcPr>
          <w:p w14:paraId="417EFC61" w14:textId="7A468AD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FA4F77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6B69574" w14:textId="19BA2302"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cannot identify any unintended consequences of the proposed approach.</w:t>
            </w:r>
          </w:p>
        </w:tc>
        <w:tc>
          <w:tcPr>
            <w:tcW w:w="3752" w:type="dxa"/>
            <w:shd w:val="clear" w:color="auto" w:fill="E2EFD9" w:themeFill="accent6" w:themeFillTint="33"/>
          </w:tcPr>
          <w:p w14:paraId="15905B5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29BD03C" w14:textId="77777777" w:rsidTr="00576563">
        <w:tc>
          <w:tcPr>
            <w:tcW w:w="1730" w:type="dxa"/>
          </w:tcPr>
          <w:p w14:paraId="65958320" w14:textId="7F4A2C5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33D44D8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2AFD56A" w14:textId="62C0516C"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None have been identified.</w:t>
            </w:r>
          </w:p>
        </w:tc>
        <w:tc>
          <w:tcPr>
            <w:tcW w:w="3752" w:type="dxa"/>
            <w:shd w:val="clear" w:color="auto" w:fill="E2EFD9" w:themeFill="accent6" w:themeFillTint="33"/>
          </w:tcPr>
          <w:p w14:paraId="5E9B306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22B4014" w14:textId="77777777" w:rsidTr="001A138C">
        <w:tc>
          <w:tcPr>
            <w:tcW w:w="1730" w:type="dxa"/>
            <w:shd w:val="clear" w:color="auto" w:fill="D9D9D9" w:themeFill="background1" w:themeFillShade="D9"/>
          </w:tcPr>
          <w:p w14:paraId="405725C0" w14:textId="5B93900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6A50141C"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D205C74" w14:textId="21A630D1"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D877F4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C6309D9" w14:textId="77777777" w:rsidTr="00576563">
        <w:tc>
          <w:tcPr>
            <w:tcW w:w="1730" w:type="dxa"/>
          </w:tcPr>
          <w:p w14:paraId="6234F363" w14:textId="4708F33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46A0D0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383C81A" w14:textId="1B57F2C7" w:rsidR="004000B8" w:rsidRPr="00332B53" w:rsidRDefault="00A964B9"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Whilst it cannot be quantified, we consider that there is a risk that, if the Exceeded Curtailment Price is set too high e.g. by using the DNO’s highest price for procuring Distribution Flexibility Services for any location, this may create distortions when seeking to procure future Distribution Flexibility Services for a specific location which may e.g. come with a significantly cheaper utilisation price. The basis of the Exceeded Curtailment Price will be published via the Flexibility Market Price Statement, which may influence bids to provide Distribution Flexibility Services. However, we propose that this should be monitored and not specifically addressed via this CP.</w:t>
            </w:r>
          </w:p>
        </w:tc>
        <w:tc>
          <w:tcPr>
            <w:tcW w:w="3752" w:type="dxa"/>
            <w:shd w:val="clear" w:color="auto" w:fill="E2EFD9" w:themeFill="accent6" w:themeFillTint="33"/>
          </w:tcPr>
          <w:p w14:paraId="41A0442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1D1B40E" w14:textId="77777777" w:rsidTr="00576563">
        <w:tc>
          <w:tcPr>
            <w:tcW w:w="1730" w:type="dxa"/>
          </w:tcPr>
          <w:p w14:paraId="1EDA89D3" w14:textId="3D68932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0E627B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88D6214" w14:textId="1803367A" w:rsidR="004000B8" w:rsidRPr="00332B53" w:rsidRDefault="00173A42" w:rsidP="00173A42">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is not currently confident that the DSO Incentive that has been proposed by Ofgem in their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Draft Determinations is enough to incentivise DNOs to accelerate the development of flexibility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markets and DSO responsibilities that are necessary to develop in the ED2 period. We, therefore,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have concerns that if the DSO Incentive is not strong enough to encourage DNOs to procure flexibility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services (particularly on their LV </w:t>
            </w:r>
            <w:r w:rsidRPr="00332B53">
              <w:rPr>
                <w:rFonts w:asciiTheme="minorHAnsi" w:hAnsiTheme="minorHAnsi" w:cstheme="minorHAnsi"/>
                <w:bCs/>
                <w:sz w:val="22"/>
                <w:szCs w:val="22"/>
              </w:rPr>
              <w:lastRenderedPageBreak/>
              <w:t>networks), and in combination the Exceeded Curtailment Price is not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high enough then DNOs may opt to curtail generators in most situations where the network is likely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to be constrained. It is wasteful to curtail generators by preference, rather than allow markets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develop which allow storage to import this surplus or for consumers to shift demand to these high</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generation periods. Therefore it is crucial that we ensure the incentives and disincentives are strong</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enough to drive the right behaviours.</w:t>
            </w:r>
          </w:p>
        </w:tc>
        <w:tc>
          <w:tcPr>
            <w:tcW w:w="3752" w:type="dxa"/>
            <w:shd w:val="clear" w:color="auto" w:fill="E2EFD9" w:themeFill="accent6" w:themeFillTint="33"/>
          </w:tcPr>
          <w:p w14:paraId="42F87C9F"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7C7A737" w14:textId="77777777" w:rsidTr="00576563">
        <w:tc>
          <w:tcPr>
            <w:tcW w:w="1730" w:type="dxa"/>
          </w:tcPr>
          <w:p w14:paraId="595B144E" w14:textId="6FE1FBC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1626C70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8AF524E" w14:textId="3BF75998"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Although we cannot at this stage identify any likely unintended consequences, there is always the risk with changes such as this that opportunities arise for the system to be gamed.</w:t>
            </w:r>
          </w:p>
        </w:tc>
        <w:tc>
          <w:tcPr>
            <w:tcW w:w="3752" w:type="dxa"/>
            <w:shd w:val="clear" w:color="auto" w:fill="E2EFD9" w:themeFill="accent6" w:themeFillTint="33"/>
          </w:tcPr>
          <w:p w14:paraId="28F55B98"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8D07586" w14:textId="77777777" w:rsidTr="00576563">
        <w:tc>
          <w:tcPr>
            <w:tcW w:w="1730" w:type="dxa"/>
          </w:tcPr>
          <w:p w14:paraId="0705D6AB" w14:textId="4E095816"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609154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581C5EB" w14:textId="34BA9498"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Not that I can foresee, but flexibility markets are very new.</w:t>
            </w:r>
          </w:p>
        </w:tc>
        <w:tc>
          <w:tcPr>
            <w:tcW w:w="3752" w:type="dxa"/>
            <w:shd w:val="clear" w:color="auto" w:fill="E2EFD9" w:themeFill="accent6" w:themeFillTint="33"/>
          </w:tcPr>
          <w:p w14:paraId="7E9297A4"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3292A842" w14:textId="77777777" w:rsidTr="00576563">
        <w:tc>
          <w:tcPr>
            <w:tcW w:w="1730" w:type="dxa"/>
          </w:tcPr>
          <w:p w14:paraId="4C6B94D6" w14:textId="5785198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639AC2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3CB5A8C"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setting the price in this way has many unintended consequences, especially on the evolving distribution flexibility market.</w:t>
            </w:r>
          </w:p>
          <w:p w14:paraId="3B5D8BA5" w14:textId="77777777" w:rsidR="000C6C27" w:rsidRPr="00332B53" w:rsidRDefault="000C6C27" w:rsidP="000C6C27">
            <w:pPr>
              <w:pStyle w:val="BodyText"/>
              <w:rPr>
                <w:rFonts w:asciiTheme="minorHAnsi" w:hAnsiTheme="minorHAnsi" w:cstheme="minorHAnsi"/>
                <w:bCs/>
                <w:sz w:val="22"/>
                <w:szCs w:val="22"/>
              </w:rPr>
            </w:pPr>
          </w:p>
          <w:p w14:paraId="0EC30A2B"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Flexibility Market Development:  DNOs are committed to facilitating the distribution flexibility market and are undertaking trials and innovation projects, working with providers and customers to enable them to take part with potential to earn revenue by supporting the network.   Contracted prices will be influenced by this, and it is not appropriate that such prices are used when setting the Exceeded Curtailment Price.</w:t>
            </w:r>
          </w:p>
          <w:p w14:paraId="7D8D7EBF" w14:textId="6B69C333" w:rsidR="004000B8"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 xml:space="preserve">Distorting the Flexibility Market:  Setting a price well in advance and based on previous years’ contracts could set the market price, encouraging potential providers to submit bids for flexibility services at a level aligned </w:t>
            </w:r>
            <w:r w:rsidRPr="00332B53">
              <w:rPr>
                <w:rFonts w:asciiTheme="minorHAnsi" w:hAnsiTheme="minorHAnsi" w:cstheme="minorHAnsi"/>
                <w:bCs/>
                <w:sz w:val="22"/>
                <w:szCs w:val="22"/>
              </w:rPr>
              <w:lastRenderedPageBreak/>
              <w:t>with those prices which have also been artificially inflated to act as a deterrent.  As these services would be lower than the exceeded curtailment price, they will meet the economic test as per Condition 31E, however will cost DUoS paying customers a premium and potentially earn connecting customers a windfall.</w:t>
            </w:r>
          </w:p>
        </w:tc>
        <w:tc>
          <w:tcPr>
            <w:tcW w:w="3752" w:type="dxa"/>
            <w:shd w:val="clear" w:color="auto" w:fill="E2EFD9" w:themeFill="accent6" w:themeFillTint="33"/>
          </w:tcPr>
          <w:p w14:paraId="384462E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FF9CA5A" w14:textId="77777777" w:rsidTr="00576563">
        <w:tc>
          <w:tcPr>
            <w:tcW w:w="1730" w:type="dxa"/>
          </w:tcPr>
          <w:p w14:paraId="37D42889" w14:textId="28326D6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6123D17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62840FD" w14:textId="07C39B00"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151F39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92907EE" w14:textId="77777777" w:rsidTr="00576563">
        <w:tc>
          <w:tcPr>
            <w:tcW w:w="1730" w:type="dxa"/>
          </w:tcPr>
          <w:p w14:paraId="2C1A6845" w14:textId="319CA65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0C1EF8D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B3CCE16" w14:textId="4F6D9DE8"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 this must be carefully monitored and may require further code changes to address.  For example, there is potential for gaming where, say existing DER change their operating regime to trigger excessive curtailment on other newly connected curtailable connections.  This could push up the price of flexibility services in an area to the detriment of the wider body of customers.</w:t>
            </w:r>
          </w:p>
        </w:tc>
        <w:tc>
          <w:tcPr>
            <w:tcW w:w="3752" w:type="dxa"/>
            <w:shd w:val="clear" w:color="auto" w:fill="E2EFD9" w:themeFill="accent6" w:themeFillTint="33"/>
          </w:tcPr>
          <w:p w14:paraId="06BAD92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AAB5629" w14:textId="77777777" w:rsidTr="00576563">
        <w:tc>
          <w:tcPr>
            <w:tcW w:w="1730" w:type="dxa"/>
          </w:tcPr>
          <w:p w14:paraId="4C906F35" w14:textId="61A65D3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5C072B6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F8D1617"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described in our response to question 15. a), we believe the proposal in the draft legal text will result in extremely high overall costs in circumstances where curtailment exceeds the agreed limit(s).</w:t>
            </w:r>
          </w:p>
          <w:p w14:paraId="429559A1"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This could lead to the following unintended consequences:</w:t>
            </w:r>
          </w:p>
          <w:p w14:paraId="769C5731"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1. Market distortion</w:t>
            </w:r>
          </w:p>
          <w:p w14:paraId="66C9ED9B"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Mechanistically linking the highest price of a contract procured from a market to a situation where that price will be used to set the price for potentially relatively large volumes of curtailment will set perverse incentives on network operators.</w:t>
            </w:r>
          </w:p>
          <w:p w14:paraId="6BAD486B"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Network operators have a duty to operate an efficient, coordinated distribution system and therefore must maintain an overall approach to </w:t>
            </w:r>
            <w:r w:rsidRPr="00332B53">
              <w:rPr>
                <w:rFonts w:asciiTheme="minorHAnsi" w:hAnsiTheme="minorHAnsi" w:cstheme="minorHAnsi"/>
                <w:bCs/>
                <w:sz w:val="22"/>
                <w:szCs w:val="22"/>
              </w:rPr>
              <w:lastRenderedPageBreak/>
              <w:t>costs that ensures efficiency for DUoS paying customers. In circumstances where contracting low volumes of high priced flexibility is an efficient solution to a network constraint, knowing that this high price will also potentially have to be paid for much higher volumes of curtailment in excess of customer limits could influence decision making for entering such contracts. It is not appropriate to make such a direct link between prices set in very specific market conditions to a general obligation under a code to set the price of larger volumes of flexibility/curtailment.</w:t>
            </w:r>
          </w:p>
          <w:p w14:paraId="71C02D66"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2. Windfall gains</w:t>
            </w:r>
          </w:p>
          <w:p w14:paraId="749A9E0F"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As mentioned above, the highest price paid in the market is likely to be for very small volumes which are justified by a CBA for that specific constraint which guarantees that the price paid is reflective of the value being delivered to the system and is an efficient solution compared to alternatives.</w:t>
            </w:r>
          </w:p>
          <w:p w14:paraId="75F3B54B" w14:textId="77777777" w:rsidR="004000B8"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Mechanistically applying this price to a much more general, obligation-driven service which could be for much higher equivalent volumes will likely lead to gains for the curtailable customer far in excess of the value of that curtailment to the system. Ultimately, the current proposed process could result in very large financial payments being made to individual customers in excess of the value of the additional curtailment which will impact consumer bills.</w:t>
            </w:r>
          </w:p>
          <w:p w14:paraId="4C5DBE4F"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3. Inefficiency</w:t>
            </w:r>
          </w:p>
          <w:p w14:paraId="1A19F960" w14:textId="435ABE68"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As described above, if high prices are set for the ECP, this could generate excessive financial payments to curtailable customers which will increase distribution system costs – likely beyond the value generated. This is not an efficient outcome for wider customers.</w:t>
            </w:r>
          </w:p>
        </w:tc>
        <w:tc>
          <w:tcPr>
            <w:tcW w:w="3752" w:type="dxa"/>
            <w:shd w:val="clear" w:color="auto" w:fill="E2EFD9" w:themeFill="accent6" w:themeFillTint="33"/>
          </w:tcPr>
          <w:p w14:paraId="7180864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A17B2DF" w14:textId="77777777" w:rsidTr="00576563">
        <w:tc>
          <w:tcPr>
            <w:tcW w:w="1730" w:type="dxa"/>
          </w:tcPr>
          <w:p w14:paraId="4B10DD22" w14:textId="4652688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610043C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2362999" w14:textId="2E296218"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see any significant consequences. However, we feel if we are required to report anticipated breaches of the curtailment limit to customers (referred to in 4.25 of the consultation), could such advance signalling provide an opportunity for flexibility prices to be elevated in anticipation?</w:t>
            </w:r>
          </w:p>
        </w:tc>
        <w:tc>
          <w:tcPr>
            <w:tcW w:w="3752" w:type="dxa"/>
            <w:shd w:val="clear" w:color="auto" w:fill="E2EFD9" w:themeFill="accent6" w:themeFillTint="33"/>
          </w:tcPr>
          <w:p w14:paraId="52E6C4C6"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474149EF" w14:textId="77777777" w:rsidTr="00576563">
        <w:tc>
          <w:tcPr>
            <w:tcW w:w="14081" w:type="dxa"/>
            <w:gridSpan w:val="4"/>
            <w:shd w:val="clear" w:color="auto" w:fill="E2EFD9" w:themeFill="accent6" w:themeFillTint="33"/>
          </w:tcPr>
          <w:p w14:paraId="503974C3"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73950F0D" w14:textId="0A973965" w:rsidR="00E0267B" w:rsidRDefault="00E0267B">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246058" w:rsidRPr="007A0F4A" w14:paraId="135A6A1C"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881E7CB" w14:textId="77777777" w:rsidR="00246058" w:rsidRPr="007A0F4A" w:rsidRDefault="0024605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AA61528" w14:textId="77777777" w:rsidR="00246058" w:rsidRPr="007A0F4A" w:rsidRDefault="0024605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086AB7F" w14:textId="77777777" w:rsidR="00246058" w:rsidRPr="007A0F4A" w:rsidRDefault="0024605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596E0CAA" w14:textId="49945E88" w:rsidR="00246058" w:rsidRPr="007A0F4A" w:rsidRDefault="00FE2FAC">
            <w:pPr>
              <w:pStyle w:val="BodyTextNoSpacing"/>
              <w:numPr>
                <w:ilvl w:val="0"/>
                <w:numId w:val="3"/>
              </w:numPr>
              <w:rPr>
                <w:rFonts w:asciiTheme="minorHAnsi" w:hAnsiTheme="minorHAnsi" w:cstheme="minorHAnsi"/>
                <w:bCs/>
                <w:sz w:val="22"/>
                <w:szCs w:val="22"/>
              </w:rPr>
            </w:pPr>
            <w:r w:rsidRPr="00FE2FAC">
              <w:t>Do you believe that the Clean Energy Package should be considered as distinct from the Access SCR Decision and Access SCR Direction when developing the solution for this CP? Please provide your explanation.</w:t>
            </w:r>
          </w:p>
        </w:tc>
        <w:tc>
          <w:tcPr>
            <w:tcW w:w="3752" w:type="dxa"/>
            <w:shd w:val="clear" w:color="auto" w:fill="E2EFD9" w:themeFill="accent6" w:themeFillTint="33"/>
          </w:tcPr>
          <w:p w14:paraId="6DE8B451" w14:textId="77777777" w:rsidR="00246058" w:rsidRPr="007A0F4A" w:rsidRDefault="00246058"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1C5D2EC" w14:textId="77777777" w:rsidTr="00576563">
        <w:tc>
          <w:tcPr>
            <w:tcW w:w="1730" w:type="dxa"/>
          </w:tcPr>
          <w:p w14:paraId="73C05D9A" w14:textId="6D3967B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5D3C9D1"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18F22DEC" w14:textId="3F5C65F3" w:rsidR="00895CE0" w:rsidRPr="00332B53" w:rsidRDefault="00895CE0" w:rsidP="008B49E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No comments on this</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1DD865CB"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0222D912" w14:textId="77777777" w:rsidTr="00D07E32">
        <w:tc>
          <w:tcPr>
            <w:tcW w:w="1730" w:type="dxa"/>
            <w:shd w:val="clear" w:color="auto" w:fill="D9D9D9" w:themeFill="background1" w:themeFillShade="D9"/>
          </w:tcPr>
          <w:p w14:paraId="6D28FCC3" w14:textId="2A39D75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shd w:val="clear" w:color="auto" w:fill="D9D9D9" w:themeFill="background1" w:themeFillShade="D9"/>
          </w:tcPr>
          <w:p w14:paraId="5875AE43"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35AB300F" w14:textId="253D021F"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035F82A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B58DDBD" w14:textId="77777777" w:rsidTr="00576563">
        <w:tc>
          <w:tcPr>
            <w:tcW w:w="1730" w:type="dxa"/>
          </w:tcPr>
          <w:p w14:paraId="0F62FF04" w14:textId="0807251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63DE029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93587E2" w14:textId="77777777" w:rsidR="007F3C00"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the CP should consider any potential impact of the Clean Energy Package (CEP) and should focus entirely on the requirements of the Access SCR Decision and Direction. If the CEP were relevant, then it would have been for Ofgem to take account of it in coming to their decision.</w:t>
            </w:r>
          </w:p>
          <w:p w14:paraId="35AAA485" w14:textId="77777777" w:rsidR="007F3C00" w:rsidRPr="00332B53" w:rsidRDefault="007F3C00" w:rsidP="007F3C00">
            <w:pPr>
              <w:pStyle w:val="BodyText"/>
              <w:rPr>
                <w:rFonts w:asciiTheme="minorHAnsi" w:hAnsiTheme="minorHAnsi" w:cstheme="minorHAnsi"/>
                <w:bCs/>
                <w:sz w:val="22"/>
                <w:szCs w:val="22"/>
              </w:rPr>
            </w:pPr>
          </w:p>
          <w:p w14:paraId="6E765DBA" w14:textId="77777777" w:rsidR="007F3C00"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do not believe the CEP applies in this context. The proposals are not about dispatch nor does anyone connected at distribution have a guarantee </w:t>
            </w:r>
            <w:r w:rsidRPr="00332B53">
              <w:rPr>
                <w:rFonts w:asciiTheme="minorHAnsi" w:hAnsiTheme="minorHAnsi" w:cstheme="minorHAnsi"/>
                <w:bCs/>
                <w:sz w:val="22"/>
                <w:szCs w:val="22"/>
              </w:rPr>
              <w:lastRenderedPageBreak/>
              <w:t>of firm delivery of energy. (NTC 3.5  The right to be (and remain) Connected does not include the right to be (and remain) Energised).</w:t>
            </w:r>
          </w:p>
          <w:p w14:paraId="4DF6997D" w14:textId="77777777" w:rsidR="007F3C00" w:rsidRPr="00332B53" w:rsidRDefault="007F3C00" w:rsidP="007F3C00">
            <w:pPr>
              <w:pStyle w:val="BodyText"/>
              <w:rPr>
                <w:rFonts w:asciiTheme="minorHAnsi" w:hAnsiTheme="minorHAnsi" w:cstheme="minorHAnsi"/>
                <w:bCs/>
                <w:sz w:val="22"/>
                <w:szCs w:val="22"/>
              </w:rPr>
            </w:pPr>
          </w:p>
          <w:p w14:paraId="57160EEE" w14:textId="086B2010" w:rsidR="004000B8"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On setting Exceeding Curtailment Prices, DNOs have been given a clear instruction how to do this. Adding additional steps would appear at odds with the Access SCR Direction and introduces consequential loss which distributors have a right to exclude under the Electricity Act 1989 (as amended).</w:t>
            </w:r>
          </w:p>
        </w:tc>
        <w:tc>
          <w:tcPr>
            <w:tcW w:w="3752" w:type="dxa"/>
            <w:shd w:val="clear" w:color="auto" w:fill="E2EFD9" w:themeFill="accent6" w:themeFillTint="33"/>
          </w:tcPr>
          <w:p w14:paraId="0447A38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5D694A2" w14:textId="77777777" w:rsidTr="00576563">
        <w:tc>
          <w:tcPr>
            <w:tcW w:w="1730" w:type="dxa"/>
          </w:tcPr>
          <w:p w14:paraId="5B5FD147" w14:textId="15276A5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5EC71F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ADD4DD9" w14:textId="4CF81932"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think any consideration of the CEP should be considered by Ofgem. We don't think the onus should be on the working group to add to Ofgem's direction.</w:t>
            </w:r>
          </w:p>
        </w:tc>
        <w:tc>
          <w:tcPr>
            <w:tcW w:w="3752" w:type="dxa"/>
            <w:shd w:val="clear" w:color="auto" w:fill="E2EFD9" w:themeFill="accent6" w:themeFillTint="33"/>
          </w:tcPr>
          <w:p w14:paraId="7700695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AFE72DB" w14:textId="77777777" w:rsidTr="00576563">
        <w:tc>
          <w:tcPr>
            <w:tcW w:w="1730" w:type="dxa"/>
          </w:tcPr>
          <w:p w14:paraId="2F9D07C2" w14:textId="2427EDF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363F639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8DD321C" w14:textId="315094AC" w:rsidR="004000B8" w:rsidRPr="00332B53" w:rsidRDefault="001A138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any consideration of the CEP should be considered by Ofgem rather than requiring the Workgroup to add to Ofgem's direction.</w:t>
            </w:r>
          </w:p>
        </w:tc>
        <w:tc>
          <w:tcPr>
            <w:tcW w:w="3752" w:type="dxa"/>
            <w:shd w:val="clear" w:color="auto" w:fill="E2EFD9" w:themeFill="accent6" w:themeFillTint="33"/>
          </w:tcPr>
          <w:p w14:paraId="18D83F3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139F410" w14:textId="77777777" w:rsidTr="00576563">
        <w:tc>
          <w:tcPr>
            <w:tcW w:w="1730" w:type="dxa"/>
          </w:tcPr>
          <w:p w14:paraId="46988CF4" w14:textId="2AE0EC7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6564583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599EFB4" w14:textId="4890D4C6" w:rsidR="004000B8" w:rsidRPr="00332B53" w:rsidRDefault="00A964B9" w:rsidP="00A964B9">
            <w:pPr>
              <w:rPr>
                <w:rFonts w:asciiTheme="minorHAnsi" w:hAnsiTheme="minorHAnsi" w:cstheme="minorHAnsi"/>
                <w:bCs/>
                <w:sz w:val="22"/>
                <w:szCs w:val="22"/>
              </w:rPr>
            </w:pPr>
            <w:r w:rsidRPr="00332B53">
              <w:rPr>
                <w:rFonts w:asciiTheme="minorHAnsi" w:hAnsiTheme="minorHAnsi" w:cstheme="minorHAnsi"/>
                <w:bCs/>
                <w:sz w:val="22"/>
                <w:szCs w:val="22"/>
              </w:rPr>
              <w:t>No. The obligation is to implement the Access SCR Decision as set out in the Access SCR Direction. It is for Ofgem to consider consulting in future on any elements of the Clean Energy Package it did not consider in coming to the Access SCR Decision.</w:t>
            </w:r>
          </w:p>
        </w:tc>
        <w:tc>
          <w:tcPr>
            <w:tcW w:w="3752" w:type="dxa"/>
            <w:shd w:val="clear" w:color="auto" w:fill="E2EFD9" w:themeFill="accent6" w:themeFillTint="33"/>
          </w:tcPr>
          <w:p w14:paraId="0D8DBA8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810AA1F" w14:textId="77777777" w:rsidTr="00576563">
        <w:tc>
          <w:tcPr>
            <w:tcW w:w="1730" w:type="dxa"/>
          </w:tcPr>
          <w:p w14:paraId="51136BF8" w14:textId="11DC022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121E5E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7EB753" w14:textId="671B8368"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644BB94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ED182EB" w14:textId="77777777" w:rsidTr="00576563">
        <w:tc>
          <w:tcPr>
            <w:tcW w:w="1730" w:type="dxa"/>
          </w:tcPr>
          <w:p w14:paraId="0CCAD6BC" w14:textId="404C184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5C9CA49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0631AD6" w14:textId="526E6D39"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that this is a legal question and requires appropriate input. We agree that Ofgem should be made aware of the concern.</w:t>
            </w:r>
          </w:p>
        </w:tc>
        <w:tc>
          <w:tcPr>
            <w:tcW w:w="3752" w:type="dxa"/>
            <w:shd w:val="clear" w:color="auto" w:fill="E2EFD9" w:themeFill="accent6" w:themeFillTint="33"/>
          </w:tcPr>
          <w:p w14:paraId="75093F6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D747F28" w14:textId="77777777" w:rsidTr="00576563">
        <w:tc>
          <w:tcPr>
            <w:tcW w:w="1730" w:type="dxa"/>
          </w:tcPr>
          <w:p w14:paraId="0EA57031" w14:textId="71A0C713"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7BCDCE3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49E90DA" w14:textId="7777777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The CEP is about production of energy, so does not apply to curtailment of demand users. Where generation could be curtailed, the generation customer has “accepted a connection agreement under which there is no guarantee of firm delivery of energy” (Paragraph 7) and is therefore excluded.</w:t>
            </w:r>
          </w:p>
          <w:p w14:paraId="216DA3BF" w14:textId="5227BE1B"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The legality of this modification against the CEP is ultimately for the Authority and/or Courts to confirm.</w:t>
            </w:r>
          </w:p>
        </w:tc>
        <w:tc>
          <w:tcPr>
            <w:tcW w:w="3752" w:type="dxa"/>
            <w:shd w:val="clear" w:color="auto" w:fill="E2EFD9" w:themeFill="accent6" w:themeFillTint="33"/>
          </w:tcPr>
          <w:p w14:paraId="062FA909"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014BFB01" w14:textId="77777777" w:rsidTr="00576563">
        <w:tc>
          <w:tcPr>
            <w:tcW w:w="1730" w:type="dxa"/>
          </w:tcPr>
          <w:p w14:paraId="7867D66D" w14:textId="400229C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429A0BD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AC5BEEE" w14:textId="67BE99F5"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Ofgem and/or BEIS should advise on the interactions between CEP and Access SCR.</w:t>
            </w:r>
          </w:p>
        </w:tc>
        <w:tc>
          <w:tcPr>
            <w:tcW w:w="3752" w:type="dxa"/>
            <w:shd w:val="clear" w:color="auto" w:fill="E2EFD9" w:themeFill="accent6" w:themeFillTint="33"/>
          </w:tcPr>
          <w:p w14:paraId="7F3A794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42B3659" w14:textId="77777777" w:rsidTr="00576563">
        <w:tc>
          <w:tcPr>
            <w:tcW w:w="1730" w:type="dxa"/>
          </w:tcPr>
          <w:p w14:paraId="0CE9A79B" w14:textId="2E0A67B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ACF957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A0235D0" w14:textId="77777777"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consider that the provisions of the Clean Energy Package (CEP Reg 2019/943), which is retained in GB law, do apply in the context of the change proposal, in particular in the context of the proposed curtailment price methodology. Paragraph (7) of Article 13 of the CEP states:</w:t>
            </w:r>
          </w:p>
          <w:p w14:paraId="481346CD"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“Where non-market based redispatching [which includes curtailment] is used, it shall be subject to financial compensation by the system operator requesting the redispatching to the operator of the redispatched generation, energy storage or demand response facility except in the case of producers that have accepted a connection agreement under which there is no guarantee of firm delivery of energy.</w:t>
            </w:r>
          </w:p>
          <w:p w14:paraId="268FF1DA"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Such financial compensation shall be at least equal to the higher of the following elements or a combination of both if applying only the higher would lead to an unjustifiably low or an unjustifiably high compensation: (a) additional operating cost caused by the redispatching, such as additional fuel costs in the case of upward redispatching, or backup heat provision in the case of downward redispatching of power-generating facilities using </w:t>
            </w:r>
            <w:r w:rsidRPr="00332B53">
              <w:rPr>
                <w:rFonts w:asciiTheme="minorHAnsi" w:hAnsiTheme="minorHAnsi" w:cstheme="minorHAnsi"/>
                <w:bCs/>
                <w:sz w:val="22"/>
                <w:szCs w:val="22"/>
              </w:rPr>
              <w:lastRenderedPageBreak/>
              <w:t>high-efficiency cogeneration; (b) net revenues from the sale of electricity on the day-ahead market that the power-generating, energy storage or demand response facility would have generated without the redispatching request; where financial support is granted to power-generating, energy storage or demand response facilities based on the electricity volume generated or consumed, financial support that would have been received without the redispatching request shall be deemed to be part of the net revenues.”</w:t>
            </w:r>
          </w:p>
          <w:p w14:paraId="7B3E07B1"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It is our understanding that some industry parties consider that the provisions of the CEP, as retained in UK law (applicable in GB only), do not now apply at distribution network level. This reasoning appears to be:</w:t>
            </w:r>
          </w:p>
          <w:p w14:paraId="15BA06CB"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a) because the transposition of the CEP into GB law refers to ‘transmission system operators’ rather than the CEP term ‘system operator’ and ‘transmission system operators or distribution system operators’; and</w:t>
            </w:r>
          </w:p>
          <w:p w14:paraId="1CA34608"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b) because distributors are not (so far) designated ‘system operators’ in GB.</w:t>
            </w:r>
          </w:p>
          <w:p w14:paraId="3EC261CB"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However, we consider that the apparent narrowing in GB law of the definition of ‘system operators’ may be considered, in terms of (a), legally questionable based on the Explanatory Note to The Electricity and Gas (Internal Markets) (Network Codes) (Amendment etc) (EU Exit) Regulations 2020 which states that: “These Regulations are made in order to address failures of retained direct EU legislation to operate effectively and other deficiencies arising from the withdrawal of the United Kingdom from the European Union” and that “No impact assessment was deemed necessary, since no substantive impact on industry (or the voluntary or public sectors) was foreseen.” The change in this case; by the insertion of ‘transmission’ ahead of ‘system operator; would seem to have a substantive impact on </w:t>
            </w:r>
            <w:r w:rsidRPr="00332B53">
              <w:rPr>
                <w:rFonts w:asciiTheme="minorHAnsi" w:hAnsiTheme="minorHAnsi" w:cstheme="minorHAnsi"/>
                <w:bCs/>
                <w:sz w:val="22"/>
                <w:szCs w:val="22"/>
              </w:rPr>
              <w:lastRenderedPageBreak/>
              <w:t>industry, at least in this particular case as regards the access to (or non-access to) compensation in accordance with Article 13.</w:t>
            </w:r>
          </w:p>
          <w:p w14:paraId="422E8E20"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In respect of (b), we consider that this argument may not be certain because it is our understanding that distributors are, in terms of be CEP, classified according to that legal instrument and as such may well (for that purpose) be ‘system operators’ accordingly when they have the characteristics of that function (either now or in the future).</w:t>
            </w:r>
          </w:p>
          <w:p w14:paraId="08A6AE63" w14:textId="7ACEF7BC" w:rsidR="008551DC" w:rsidRPr="00332B53" w:rsidRDefault="008551DC" w:rsidP="008551D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As such, we propose that a provision to this effect is added to the proposed legal text along the lines of: “In accordance with Article 13, Paragraph (7), of the Clean Energy Package, (</w:t>
            </w:r>
            <w:r w:rsidRPr="00332B53">
              <w:rPr>
                <w:rFonts w:asciiTheme="minorHAnsi" w:hAnsiTheme="minorHAnsi" w:cstheme="minorHAnsi"/>
                <w:bCs/>
                <w:sz w:val="22"/>
                <w:szCs w:val="22"/>
              </w:rPr>
              <w:fldChar w:fldCharType="begin"/>
            </w:r>
            <w:r w:rsidRPr="00332B53">
              <w:rPr>
                <w:rFonts w:asciiTheme="minorHAnsi" w:hAnsiTheme="minorHAnsi" w:cstheme="minorHAnsi"/>
                <w:bCs/>
                <w:sz w:val="22"/>
                <w:szCs w:val="22"/>
              </w:rPr>
              <w:instrText xml:space="preserve"> HYPERLINK "https://eur-lex.europa.eu/legal-content/EN/TXT/PDF/?uri=CELEX:32019R0943&amp;from=EN" </w:instrText>
            </w:r>
            <w:r w:rsidRPr="00332B53">
              <w:rPr>
                <w:rFonts w:asciiTheme="minorHAnsi" w:hAnsiTheme="minorHAnsi" w:cstheme="minorHAnsi"/>
                <w:bCs/>
                <w:sz w:val="22"/>
                <w:szCs w:val="22"/>
              </w:rPr>
              <w:fldChar w:fldCharType="separate"/>
            </w:r>
            <w:r w:rsidRPr="00332B53">
              <w:rPr>
                <w:rStyle w:val="Hyperlink"/>
                <w:rFonts w:asciiTheme="minorHAnsi" w:hAnsiTheme="minorHAnsi" w:cstheme="minorHAnsi"/>
                <w:bCs/>
                <w:sz w:val="22"/>
                <w:szCs w:val="22"/>
              </w:rPr>
              <w:t>CEP Reg 2019/943</w:t>
            </w:r>
            <w:r w:rsidRPr="00332B53">
              <w:rPr>
                <w:rFonts w:asciiTheme="minorHAnsi" w:hAnsiTheme="minorHAnsi" w:cstheme="minorHAnsi"/>
                <w:bCs/>
                <w:sz w:val="22"/>
                <w:szCs w:val="22"/>
              </w:rPr>
              <w:fldChar w:fldCharType="end"/>
            </w:r>
            <w:r w:rsidRPr="00332B53">
              <w:rPr>
                <w:rFonts w:asciiTheme="minorHAnsi" w:hAnsiTheme="minorHAnsi" w:cstheme="minorHAnsi"/>
                <w:bCs/>
                <w:sz w:val="22"/>
                <w:szCs w:val="22"/>
              </w:rPr>
              <w:t>), the distributor will also perform the CEP calculations. Where this results in a price larger than the price calculated in paragraph (9), then the CEP calculated price will be paid. Where the CEP</w:t>
            </w:r>
            <w:r w:rsidRPr="00332B53">
              <w:rPr>
                <w:rFonts w:asciiTheme="minorHAnsi" w:hAnsiTheme="minorHAnsi" w:cstheme="minorHAnsi"/>
                <w:bCs/>
                <w:sz w:val="22"/>
                <w:szCs w:val="22"/>
                <w:lang w:val="en-GB"/>
              </w:rPr>
              <w:t xml:space="preserve"> calculated price is less than or equal to the value calculated in paragraph (9), then the value in paragraph (9) will be paid.”</w:t>
            </w:r>
          </w:p>
        </w:tc>
        <w:tc>
          <w:tcPr>
            <w:tcW w:w="3752" w:type="dxa"/>
            <w:shd w:val="clear" w:color="auto" w:fill="E2EFD9" w:themeFill="accent6" w:themeFillTint="33"/>
          </w:tcPr>
          <w:p w14:paraId="7D7CB4A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012D9A0" w14:textId="77777777" w:rsidTr="00576563">
        <w:tc>
          <w:tcPr>
            <w:tcW w:w="1730" w:type="dxa"/>
          </w:tcPr>
          <w:p w14:paraId="7C75BBCE" w14:textId="603A24A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4BB2C17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3B43D1C" w14:textId="259B7736"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Clean Energy Package considerations have important and market wide impacts for all dispatchable users of the distribution network.  These considerations are not specific to the new curtailable access products as indroduced under Access SCR.  We expect Ofgem to have considered these aspects when developing proposal under the access SCR and as they continue to develop the wider market.</w:t>
            </w:r>
          </w:p>
        </w:tc>
        <w:tc>
          <w:tcPr>
            <w:tcW w:w="3752" w:type="dxa"/>
            <w:shd w:val="clear" w:color="auto" w:fill="E2EFD9" w:themeFill="accent6" w:themeFillTint="33"/>
          </w:tcPr>
          <w:p w14:paraId="549916F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11F35EE" w14:textId="77777777" w:rsidTr="00576563">
        <w:tc>
          <w:tcPr>
            <w:tcW w:w="1730" w:type="dxa"/>
          </w:tcPr>
          <w:p w14:paraId="5F5FBF28" w14:textId="319C416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735569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446EE3D" w14:textId="4A924D7B"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that implementation of the Clean Energy Package is outside of the scope of this CP. This CP has a clear scope to implement Ofgem’s Access SCR Direction and any changes required to meet the requirements of the Clean Energy Package should be explored through the appropriate channels.</w:t>
            </w:r>
          </w:p>
        </w:tc>
        <w:tc>
          <w:tcPr>
            <w:tcW w:w="3752" w:type="dxa"/>
            <w:shd w:val="clear" w:color="auto" w:fill="E2EFD9" w:themeFill="accent6" w:themeFillTint="33"/>
          </w:tcPr>
          <w:p w14:paraId="402E73D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4774899" w14:textId="77777777" w:rsidTr="00576563">
        <w:tc>
          <w:tcPr>
            <w:tcW w:w="1730" w:type="dxa"/>
          </w:tcPr>
          <w:p w14:paraId="3790D0F7" w14:textId="5286E5F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49AD76D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EB5BBAD" w14:textId="0DFEBC7F"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the CEP should be considered as distinct from Access SCR (and therefore this CP) unless Ofgem instruct otherwise.</w:t>
            </w:r>
          </w:p>
        </w:tc>
        <w:tc>
          <w:tcPr>
            <w:tcW w:w="3752" w:type="dxa"/>
            <w:shd w:val="clear" w:color="auto" w:fill="E2EFD9" w:themeFill="accent6" w:themeFillTint="33"/>
          </w:tcPr>
          <w:p w14:paraId="3CEDA8F3"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71F8E957" w14:textId="77777777" w:rsidTr="00576563">
        <w:tc>
          <w:tcPr>
            <w:tcW w:w="14081" w:type="dxa"/>
            <w:gridSpan w:val="4"/>
            <w:shd w:val="clear" w:color="auto" w:fill="E2EFD9" w:themeFill="accent6" w:themeFillTint="33"/>
          </w:tcPr>
          <w:p w14:paraId="293F06E9"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68189D1" w14:textId="300A8F34" w:rsidR="00246058" w:rsidRDefault="0024605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FE2FAC" w:rsidRPr="007A0F4A" w14:paraId="4DC215EB"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31D9DCD" w14:textId="77777777" w:rsidR="00FE2FAC" w:rsidRPr="007A0F4A" w:rsidRDefault="00FE2FA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23B9638" w14:textId="77777777" w:rsidR="00FE2FAC" w:rsidRPr="007A0F4A" w:rsidRDefault="00FE2FA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2FEA688" w14:textId="77777777" w:rsidR="00FE2FAC" w:rsidRPr="007A0F4A" w:rsidRDefault="00FE2FA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E476E1F" w14:textId="05DA974D" w:rsidR="00FE2FAC" w:rsidRPr="007A0F4A" w:rsidRDefault="00827155">
            <w:pPr>
              <w:pStyle w:val="BodyTextNoSpacing"/>
              <w:numPr>
                <w:ilvl w:val="0"/>
                <w:numId w:val="3"/>
              </w:numPr>
              <w:rPr>
                <w:rFonts w:asciiTheme="minorHAnsi" w:hAnsiTheme="minorHAnsi" w:cstheme="minorHAnsi"/>
                <w:bCs/>
                <w:sz w:val="22"/>
                <w:szCs w:val="22"/>
              </w:rPr>
            </w:pPr>
            <w:r w:rsidRPr="00827155">
              <w:t>Do you agree with the proposals in relation to the Flexibility Market Price Statement? If not, please provide your reasons.</w:t>
            </w:r>
          </w:p>
        </w:tc>
        <w:tc>
          <w:tcPr>
            <w:tcW w:w="3752" w:type="dxa"/>
            <w:shd w:val="clear" w:color="auto" w:fill="E2EFD9" w:themeFill="accent6" w:themeFillTint="33"/>
          </w:tcPr>
          <w:p w14:paraId="25587660" w14:textId="77777777" w:rsidR="00FE2FAC" w:rsidRPr="007A0F4A" w:rsidRDefault="00FE2FA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A8BFE5D" w14:textId="77777777" w:rsidTr="00576563">
        <w:tc>
          <w:tcPr>
            <w:tcW w:w="1730" w:type="dxa"/>
          </w:tcPr>
          <w:p w14:paraId="0D270394" w14:textId="07A9EBD0"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CC101AF"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36A63E7" w14:textId="4633C8DD"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6 Monthly seems appropriate and the 3 day turn around to publish the market price statement seems reasonable</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238759C7"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1FA3DE07" w14:textId="77777777" w:rsidTr="00576563">
        <w:tc>
          <w:tcPr>
            <w:tcW w:w="1730" w:type="dxa"/>
          </w:tcPr>
          <w:p w14:paraId="616C8EFA" w14:textId="098CB93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1CB5EA0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9E00D40" w14:textId="4C80F622"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36909A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4149928" w14:textId="77777777" w:rsidTr="00576563">
        <w:tc>
          <w:tcPr>
            <w:tcW w:w="1730" w:type="dxa"/>
          </w:tcPr>
          <w:p w14:paraId="32753993" w14:textId="76A9635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562E89C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2696FAA" w14:textId="507CD74E"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support these proposals.</w:t>
            </w:r>
          </w:p>
        </w:tc>
        <w:tc>
          <w:tcPr>
            <w:tcW w:w="3752" w:type="dxa"/>
            <w:shd w:val="clear" w:color="auto" w:fill="E2EFD9" w:themeFill="accent6" w:themeFillTint="33"/>
          </w:tcPr>
          <w:p w14:paraId="31ED9FB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CF641D3" w14:textId="77777777" w:rsidTr="00576563">
        <w:tc>
          <w:tcPr>
            <w:tcW w:w="1730" w:type="dxa"/>
          </w:tcPr>
          <w:p w14:paraId="24D33EB0" w14:textId="5B54F8F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718ADC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8D02600" w14:textId="69BCB18F"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44EC55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C2A0AC2" w14:textId="77777777" w:rsidTr="001A138C">
        <w:tc>
          <w:tcPr>
            <w:tcW w:w="1730" w:type="dxa"/>
            <w:shd w:val="clear" w:color="auto" w:fill="D9D9D9" w:themeFill="background1" w:themeFillShade="D9"/>
          </w:tcPr>
          <w:p w14:paraId="6DC888D9" w14:textId="65DF049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4136EB89"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72F6C69A" w14:textId="571AF51F"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002DE80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FC12C25" w14:textId="77777777" w:rsidTr="00576563">
        <w:tc>
          <w:tcPr>
            <w:tcW w:w="1730" w:type="dxa"/>
          </w:tcPr>
          <w:p w14:paraId="21400CD4" w14:textId="37C053A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3138D82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C9911B" w14:textId="57B0CE03" w:rsidR="004000B8" w:rsidRPr="00332B53" w:rsidRDefault="0001723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BD0AE7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B79D646" w14:textId="77777777" w:rsidTr="00576563">
        <w:tc>
          <w:tcPr>
            <w:tcW w:w="1730" w:type="dxa"/>
          </w:tcPr>
          <w:p w14:paraId="348BED75" w14:textId="6854E62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721763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9C2396F" w14:textId="120E6270"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the proposed frequency to publish this information and that it will be useful to be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published centrally on the DCUSA website. We ask that </w:t>
            </w:r>
            <w:r w:rsidRPr="00332B53">
              <w:rPr>
                <w:rFonts w:asciiTheme="minorHAnsi" w:hAnsiTheme="minorHAnsi" w:cstheme="minorHAnsi"/>
                <w:bCs/>
                <w:sz w:val="22"/>
                <w:szCs w:val="22"/>
              </w:rPr>
              <w:lastRenderedPageBreak/>
              <w:t>the table is updated so that DNOs must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clearly specify whether the prices in the table are contracted or tendered.</w:t>
            </w:r>
          </w:p>
        </w:tc>
        <w:tc>
          <w:tcPr>
            <w:tcW w:w="3752" w:type="dxa"/>
            <w:shd w:val="clear" w:color="auto" w:fill="E2EFD9" w:themeFill="accent6" w:themeFillTint="33"/>
          </w:tcPr>
          <w:p w14:paraId="0B223C8E"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3EA057A" w14:textId="77777777" w:rsidTr="00576563">
        <w:tc>
          <w:tcPr>
            <w:tcW w:w="1730" w:type="dxa"/>
          </w:tcPr>
          <w:p w14:paraId="16A097CB" w14:textId="1C0D8B5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29EBF3D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BF6D95F" w14:textId="2DCE0B19"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7FDEFEC"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B7E5A68" w14:textId="77777777" w:rsidTr="00576563">
        <w:tc>
          <w:tcPr>
            <w:tcW w:w="1730" w:type="dxa"/>
          </w:tcPr>
          <w:p w14:paraId="29CFB86E" w14:textId="1C9D020F"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0E3288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597AC33" w14:textId="007BE6A5"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this represents a suitable legal minimum although, in the interests of transparency, market information should be publicly available where possible.</w:t>
            </w:r>
          </w:p>
        </w:tc>
        <w:tc>
          <w:tcPr>
            <w:tcW w:w="3752" w:type="dxa"/>
            <w:shd w:val="clear" w:color="auto" w:fill="E2EFD9" w:themeFill="accent6" w:themeFillTint="33"/>
          </w:tcPr>
          <w:p w14:paraId="66B5E77B"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108F1576" w14:textId="77777777" w:rsidTr="00576563">
        <w:tc>
          <w:tcPr>
            <w:tcW w:w="1730" w:type="dxa"/>
          </w:tcPr>
          <w:p w14:paraId="3F6039ED" w14:textId="4E64B2C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699B054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B272A65" w14:textId="3DFC7D8A"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proposals.</w:t>
            </w:r>
          </w:p>
        </w:tc>
        <w:tc>
          <w:tcPr>
            <w:tcW w:w="3752" w:type="dxa"/>
            <w:shd w:val="clear" w:color="auto" w:fill="E2EFD9" w:themeFill="accent6" w:themeFillTint="33"/>
          </w:tcPr>
          <w:p w14:paraId="2892533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88A6B32" w14:textId="77777777" w:rsidTr="00576563">
        <w:tc>
          <w:tcPr>
            <w:tcW w:w="1730" w:type="dxa"/>
          </w:tcPr>
          <w:p w14:paraId="4C571110" w14:textId="082B07B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33675A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B4C04D3" w14:textId="5A7C5F94"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overall but we consider that the frequency of price updates should (alongside the various percentages being proposed) be included in a regular review of the arrangements, to evolve in line with the flexibility market. See also our response to question 15.c): “over what period do you believe prices for Distribution Flexibility Services should be used?” and to question 32 – comments on the legal text.</w:t>
            </w:r>
          </w:p>
        </w:tc>
        <w:tc>
          <w:tcPr>
            <w:tcW w:w="3752" w:type="dxa"/>
            <w:shd w:val="clear" w:color="auto" w:fill="E2EFD9" w:themeFill="accent6" w:themeFillTint="33"/>
          </w:tcPr>
          <w:p w14:paraId="4E61C9E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D86DC98" w14:textId="77777777" w:rsidTr="00576563">
        <w:tc>
          <w:tcPr>
            <w:tcW w:w="1730" w:type="dxa"/>
          </w:tcPr>
          <w:p w14:paraId="34241A04" w14:textId="75D28F6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6806D30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8D9DF79" w14:textId="5FCDB279"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95F067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E0FB3BF" w14:textId="77777777" w:rsidTr="00576563">
        <w:tc>
          <w:tcPr>
            <w:tcW w:w="1730" w:type="dxa"/>
          </w:tcPr>
          <w:p w14:paraId="610FACE1" w14:textId="29D5340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31680F2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45B51B4"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will provide the right information for customers considering curtailable connections to be able to make decisions regarding their connection.</w:t>
            </w:r>
          </w:p>
          <w:p w14:paraId="001A15BA" w14:textId="0E5A33CC" w:rsidR="004000B8"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However, note our response to question 15. b), we do not believe that the ECP should be set with three years of market prices. We consider twelve months of market prices to be a better option due to their relevance, but </w:t>
            </w:r>
            <w:r w:rsidRPr="00332B53">
              <w:rPr>
                <w:rFonts w:asciiTheme="minorHAnsi" w:hAnsiTheme="minorHAnsi" w:cstheme="minorHAnsi"/>
                <w:bCs/>
                <w:sz w:val="22"/>
                <w:szCs w:val="22"/>
              </w:rPr>
              <w:lastRenderedPageBreak/>
              <w:t>see no issue with the template capturing three years as this could be helpful context for customers.</w:t>
            </w:r>
          </w:p>
        </w:tc>
        <w:tc>
          <w:tcPr>
            <w:tcW w:w="3752" w:type="dxa"/>
            <w:shd w:val="clear" w:color="auto" w:fill="E2EFD9" w:themeFill="accent6" w:themeFillTint="33"/>
          </w:tcPr>
          <w:p w14:paraId="03C029C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D4B8EDF" w14:textId="77777777" w:rsidTr="00576563">
        <w:tc>
          <w:tcPr>
            <w:tcW w:w="1730" w:type="dxa"/>
          </w:tcPr>
          <w:p w14:paraId="42772BC2" w14:textId="733A761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0D6865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EF8B6FD" w14:textId="77777777" w:rsidR="00FC694B" w:rsidRPr="00332B53" w:rsidRDefault="00FC694B" w:rsidP="00FC694B">
            <w:pPr>
              <w:rPr>
                <w:rFonts w:asciiTheme="minorHAnsi" w:hAnsiTheme="minorHAnsi" w:cstheme="minorHAnsi"/>
                <w:bCs/>
                <w:sz w:val="22"/>
                <w:szCs w:val="22"/>
              </w:rPr>
            </w:pPr>
            <w:r w:rsidRPr="00332B53">
              <w:rPr>
                <w:rFonts w:asciiTheme="minorHAnsi" w:hAnsiTheme="minorHAnsi" w:cstheme="minorHAnsi"/>
                <w:bCs/>
                <w:sz w:val="22"/>
                <w:szCs w:val="22"/>
              </w:rPr>
              <w:t>The proposals for a Flexibility Market Price Statement is duplicating activity already required on DNOs under SLC31E. The annual Distribution Flexibility Services Annual Report and supporting data produced as part of SLC31E is published at the end of April and should be used to determine the information required for the Flexibility Market Price Statement. We do not agree with the need for a 6 monthly update of the pricing and it should instead be aligned to the current annual reporting requirements.</w:t>
            </w:r>
          </w:p>
          <w:p w14:paraId="70EDBCA1" w14:textId="77777777" w:rsidR="004000B8" w:rsidRPr="00332B53" w:rsidRDefault="004000B8" w:rsidP="004000B8">
            <w:pPr>
              <w:pStyle w:val="BodyText"/>
              <w:rPr>
                <w:rFonts w:asciiTheme="minorHAnsi" w:hAnsiTheme="minorHAnsi" w:cstheme="minorHAnsi"/>
                <w:bCs/>
                <w:sz w:val="22"/>
                <w:szCs w:val="22"/>
              </w:rPr>
            </w:pPr>
          </w:p>
        </w:tc>
        <w:tc>
          <w:tcPr>
            <w:tcW w:w="3752" w:type="dxa"/>
            <w:shd w:val="clear" w:color="auto" w:fill="E2EFD9" w:themeFill="accent6" w:themeFillTint="33"/>
          </w:tcPr>
          <w:p w14:paraId="6B6A6FAF"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07AF9C6B" w14:textId="77777777" w:rsidTr="00576563">
        <w:tc>
          <w:tcPr>
            <w:tcW w:w="14081" w:type="dxa"/>
            <w:gridSpan w:val="4"/>
            <w:shd w:val="clear" w:color="auto" w:fill="E2EFD9" w:themeFill="accent6" w:themeFillTint="33"/>
          </w:tcPr>
          <w:p w14:paraId="695F4A3B"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20247EB5" w14:textId="74C280A0" w:rsidR="00FE2FAC" w:rsidRDefault="00FE2FA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27155" w:rsidRPr="007A0F4A" w14:paraId="52D761F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78FEA9" w14:textId="77777777" w:rsidR="00827155" w:rsidRPr="007A0F4A" w:rsidRDefault="00827155"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1CE6C6A" w14:textId="77777777" w:rsidR="00827155" w:rsidRPr="007A0F4A" w:rsidRDefault="00827155"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722023D" w14:textId="77777777" w:rsidR="00827155" w:rsidRPr="007A0F4A" w:rsidRDefault="00827155"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EBCAF03" w14:textId="3179C3E6" w:rsidR="00827155" w:rsidRPr="007A0F4A" w:rsidRDefault="002E2CBB">
            <w:pPr>
              <w:pStyle w:val="BodyTextNoSpacing"/>
              <w:numPr>
                <w:ilvl w:val="0"/>
                <w:numId w:val="3"/>
              </w:numPr>
              <w:rPr>
                <w:rFonts w:asciiTheme="minorHAnsi" w:hAnsiTheme="minorHAnsi" w:cstheme="minorHAnsi"/>
                <w:bCs/>
                <w:sz w:val="22"/>
                <w:szCs w:val="22"/>
              </w:rPr>
            </w:pPr>
            <w:r w:rsidRPr="002E2CBB">
              <w:t>Do you agree with the conversion from £/MVA to £/MVAh using the CDCM as opposed to the CEM? If not, please provide your reasons. Do you have any alternative suggestions that the Working Group should consider?</w:t>
            </w:r>
          </w:p>
        </w:tc>
        <w:tc>
          <w:tcPr>
            <w:tcW w:w="3752" w:type="dxa"/>
            <w:shd w:val="clear" w:color="auto" w:fill="E2EFD9" w:themeFill="accent6" w:themeFillTint="33"/>
          </w:tcPr>
          <w:p w14:paraId="7792B930" w14:textId="77777777" w:rsidR="00827155" w:rsidRPr="007A0F4A" w:rsidRDefault="00827155"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7A0F4A" w14:paraId="74E72A8D" w14:textId="77777777" w:rsidTr="00576563">
        <w:tc>
          <w:tcPr>
            <w:tcW w:w="1730" w:type="dxa"/>
          </w:tcPr>
          <w:p w14:paraId="6914FED9" w14:textId="63586286"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581C50A"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3E70F44A" w14:textId="7C05FBDB"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conversion seems most suitable. However, the legal text refers to reinforcement cost in paragraph 6.9 and then to annualised reinforcement cost in 6.10 without clarity around how the cost should be annualised. It follows that the annuity factor calculated in the CDCM could be used but this clarified in the legal text.</w:t>
            </w:r>
          </w:p>
        </w:tc>
        <w:tc>
          <w:tcPr>
            <w:tcW w:w="3752" w:type="dxa"/>
            <w:shd w:val="clear" w:color="auto" w:fill="E2EFD9" w:themeFill="accent6" w:themeFillTint="33"/>
          </w:tcPr>
          <w:p w14:paraId="0E5884B1" w14:textId="77777777" w:rsidR="00895CE0" w:rsidRPr="003233BA" w:rsidRDefault="00895CE0" w:rsidP="00576563">
            <w:pPr>
              <w:pStyle w:val="BodyText"/>
              <w:rPr>
                <w:rFonts w:cstheme="minorHAnsi"/>
                <w:bCs/>
              </w:rPr>
            </w:pPr>
          </w:p>
        </w:tc>
      </w:tr>
      <w:tr w:rsidR="004000B8" w:rsidRPr="007A0F4A" w14:paraId="5E637CAB" w14:textId="77777777" w:rsidTr="00576563">
        <w:tc>
          <w:tcPr>
            <w:tcW w:w="1730" w:type="dxa"/>
          </w:tcPr>
          <w:p w14:paraId="47982F1E" w14:textId="24EB009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4546B2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59F045E" w14:textId="6DDC5CAF"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0775E24" w14:textId="77777777" w:rsidR="004000B8" w:rsidRPr="003233BA" w:rsidRDefault="004000B8" w:rsidP="004000B8">
            <w:pPr>
              <w:pStyle w:val="BodyText"/>
              <w:rPr>
                <w:rFonts w:cstheme="minorHAnsi"/>
                <w:bCs/>
              </w:rPr>
            </w:pPr>
          </w:p>
        </w:tc>
      </w:tr>
      <w:tr w:rsidR="004000B8" w:rsidRPr="007A0F4A" w14:paraId="50740CC3" w14:textId="77777777" w:rsidTr="00576563">
        <w:tc>
          <w:tcPr>
            <w:tcW w:w="1730" w:type="dxa"/>
          </w:tcPr>
          <w:p w14:paraId="7AEF30E0" w14:textId="66838E4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530" w:type="dxa"/>
          </w:tcPr>
          <w:p w14:paraId="4532F34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EAB5523" w14:textId="66C5ECAF"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using an established method for converting £/MVA to £/MVAh is best and we support the use of the CDCM approach.</w:t>
            </w:r>
          </w:p>
        </w:tc>
        <w:tc>
          <w:tcPr>
            <w:tcW w:w="3752" w:type="dxa"/>
            <w:shd w:val="clear" w:color="auto" w:fill="E2EFD9" w:themeFill="accent6" w:themeFillTint="33"/>
          </w:tcPr>
          <w:p w14:paraId="1DEE0CF6" w14:textId="77777777" w:rsidR="004000B8" w:rsidRPr="003233BA" w:rsidRDefault="004000B8" w:rsidP="004000B8">
            <w:pPr>
              <w:pStyle w:val="BodyText"/>
              <w:rPr>
                <w:rFonts w:cstheme="minorHAnsi"/>
                <w:bCs/>
              </w:rPr>
            </w:pPr>
          </w:p>
        </w:tc>
      </w:tr>
      <w:tr w:rsidR="004000B8" w:rsidRPr="007A0F4A" w14:paraId="7498CBC8" w14:textId="77777777" w:rsidTr="00576563">
        <w:tc>
          <w:tcPr>
            <w:tcW w:w="1730" w:type="dxa"/>
          </w:tcPr>
          <w:p w14:paraId="508CBF1D" w14:textId="5FF634A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428CA32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85C3DC1" w14:textId="56CB37C6"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alternative approaches have been identified.</w:t>
            </w:r>
          </w:p>
        </w:tc>
        <w:tc>
          <w:tcPr>
            <w:tcW w:w="3752" w:type="dxa"/>
            <w:shd w:val="clear" w:color="auto" w:fill="E2EFD9" w:themeFill="accent6" w:themeFillTint="33"/>
          </w:tcPr>
          <w:p w14:paraId="75B9D121" w14:textId="77777777" w:rsidR="004000B8" w:rsidRPr="003233BA" w:rsidRDefault="004000B8" w:rsidP="004000B8">
            <w:pPr>
              <w:pStyle w:val="BodyText"/>
              <w:rPr>
                <w:rFonts w:cstheme="minorHAnsi"/>
                <w:bCs/>
              </w:rPr>
            </w:pPr>
          </w:p>
        </w:tc>
      </w:tr>
      <w:tr w:rsidR="004000B8" w:rsidRPr="007A0F4A" w14:paraId="5DF991B3" w14:textId="77777777" w:rsidTr="001A138C">
        <w:tc>
          <w:tcPr>
            <w:tcW w:w="1730" w:type="dxa"/>
            <w:shd w:val="clear" w:color="auto" w:fill="D9D9D9" w:themeFill="background1" w:themeFillShade="D9"/>
          </w:tcPr>
          <w:p w14:paraId="34CBFC63" w14:textId="034FA67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109E2840"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E7AE144" w14:textId="2574D225"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6B20A227" w14:textId="77777777" w:rsidR="004000B8" w:rsidRPr="003233BA" w:rsidRDefault="004000B8" w:rsidP="004000B8">
            <w:pPr>
              <w:pStyle w:val="BodyText"/>
              <w:rPr>
                <w:rFonts w:cstheme="minorHAnsi"/>
                <w:bCs/>
              </w:rPr>
            </w:pPr>
          </w:p>
        </w:tc>
      </w:tr>
      <w:tr w:rsidR="004000B8" w:rsidRPr="007A0F4A" w14:paraId="4B27AA8B" w14:textId="77777777" w:rsidTr="00576563">
        <w:tc>
          <w:tcPr>
            <w:tcW w:w="1730" w:type="dxa"/>
          </w:tcPr>
          <w:p w14:paraId="18EBA5D1" w14:textId="21B2FAD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34504C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9D58643" w14:textId="552E635E"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use of the CDCM approach. We do not have any other suggestions.</w:t>
            </w:r>
          </w:p>
        </w:tc>
        <w:tc>
          <w:tcPr>
            <w:tcW w:w="3752" w:type="dxa"/>
            <w:shd w:val="clear" w:color="auto" w:fill="E2EFD9" w:themeFill="accent6" w:themeFillTint="33"/>
          </w:tcPr>
          <w:p w14:paraId="7F8C79C0" w14:textId="77777777" w:rsidR="004000B8" w:rsidRPr="003233BA" w:rsidRDefault="004000B8" w:rsidP="004000B8">
            <w:pPr>
              <w:pStyle w:val="BodyText"/>
              <w:rPr>
                <w:rFonts w:cstheme="minorHAnsi"/>
                <w:bCs/>
              </w:rPr>
            </w:pPr>
          </w:p>
        </w:tc>
      </w:tr>
      <w:tr w:rsidR="004000B8" w:rsidRPr="007A0F4A" w14:paraId="31386204" w14:textId="77777777" w:rsidTr="00576563">
        <w:tc>
          <w:tcPr>
            <w:tcW w:w="1730" w:type="dxa"/>
          </w:tcPr>
          <w:p w14:paraId="253FEFB3" w14:textId="6A4E572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0DB7C9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F46BF03" w14:textId="180DF6A7"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781AA4FC" w14:textId="77777777" w:rsidR="004000B8" w:rsidRPr="003233BA" w:rsidRDefault="004000B8" w:rsidP="004000B8">
            <w:pPr>
              <w:pStyle w:val="BodyText"/>
              <w:rPr>
                <w:rFonts w:cstheme="minorHAnsi"/>
                <w:bCs/>
              </w:rPr>
            </w:pPr>
          </w:p>
        </w:tc>
      </w:tr>
      <w:tr w:rsidR="004000B8" w:rsidRPr="007A0F4A" w14:paraId="0D286E57" w14:textId="77777777" w:rsidTr="00576563">
        <w:tc>
          <w:tcPr>
            <w:tcW w:w="1730" w:type="dxa"/>
          </w:tcPr>
          <w:p w14:paraId="722FFFEF" w14:textId="5A739CA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67A6F2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2072AC6" w14:textId="220FA4F2"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800AE38" w14:textId="77777777" w:rsidR="004000B8" w:rsidRPr="003233BA" w:rsidRDefault="004000B8" w:rsidP="004000B8">
            <w:pPr>
              <w:pStyle w:val="BodyText"/>
              <w:rPr>
                <w:rFonts w:cstheme="minorHAnsi"/>
                <w:bCs/>
              </w:rPr>
            </w:pPr>
          </w:p>
        </w:tc>
      </w:tr>
      <w:tr w:rsidR="004000B8" w:rsidRPr="007A0F4A" w14:paraId="237DEDE0" w14:textId="77777777" w:rsidTr="00576563">
        <w:tc>
          <w:tcPr>
            <w:tcW w:w="1730" w:type="dxa"/>
          </w:tcPr>
          <w:p w14:paraId="2BD73B58" w14:textId="0B28939E"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7B0C724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7895A20" w14:textId="07655C5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B533DFD" w14:textId="77777777" w:rsidR="004000B8" w:rsidRPr="003233BA" w:rsidRDefault="004000B8" w:rsidP="004000B8">
            <w:pPr>
              <w:pStyle w:val="BodyText"/>
              <w:rPr>
                <w:rFonts w:asciiTheme="minorHAnsi" w:hAnsiTheme="minorHAnsi" w:cstheme="minorHAnsi"/>
                <w:bCs/>
                <w:sz w:val="22"/>
                <w:szCs w:val="22"/>
                <w:lang w:val="en-GB"/>
              </w:rPr>
            </w:pPr>
          </w:p>
        </w:tc>
      </w:tr>
      <w:tr w:rsidR="004000B8" w:rsidRPr="007A0F4A" w14:paraId="7EEC7281" w14:textId="77777777" w:rsidTr="00576563">
        <w:tc>
          <w:tcPr>
            <w:tcW w:w="1730" w:type="dxa"/>
          </w:tcPr>
          <w:p w14:paraId="588C69EA" w14:textId="2EB3D90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DC8276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29B60E6" w14:textId="4F1F2A98"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the CEM is more appropriate as it is consistent with how we evaluate the ceiling price for flexibility services.</w:t>
            </w:r>
          </w:p>
        </w:tc>
        <w:tc>
          <w:tcPr>
            <w:tcW w:w="3752" w:type="dxa"/>
            <w:shd w:val="clear" w:color="auto" w:fill="E2EFD9" w:themeFill="accent6" w:themeFillTint="33"/>
          </w:tcPr>
          <w:p w14:paraId="3DE114EC" w14:textId="77777777" w:rsidR="004000B8" w:rsidRPr="003233BA" w:rsidRDefault="004000B8" w:rsidP="004000B8">
            <w:pPr>
              <w:pStyle w:val="BodyText"/>
              <w:rPr>
                <w:rFonts w:cstheme="minorHAnsi"/>
                <w:bCs/>
              </w:rPr>
            </w:pPr>
          </w:p>
        </w:tc>
      </w:tr>
      <w:tr w:rsidR="004000B8" w:rsidRPr="007A0F4A" w14:paraId="5295D90A" w14:textId="77777777" w:rsidTr="00576563">
        <w:tc>
          <w:tcPr>
            <w:tcW w:w="1730" w:type="dxa"/>
          </w:tcPr>
          <w:p w14:paraId="3B295A58" w14:textId="4499F06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C7BB9B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190497D" w14:textId="4AC5B007"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7604076" w14:textId="77777777" w:rsidR="004000B8" w:rsidRPr="003233BA" w:rsidRDefault="004000B8" w:rsidP="004000B8">
            <w:pPr>
              <w:pStyle w:val="BodyText"/>
              <w:rPr>
                <w:rFonts w:cstheme="minorHAnsi"/>
                <w:bCs/>
              </w:rPr>
            </w:pPr>
          </w:p>
        </w:tc>
      </w:tr>
      <w:tr w:rsidR="004000B8" w:rsidRPr="007A0F4A" w14:paraId="576CD8A3" w14:textId="77777777" w:rsidTr="00576563">
        <w:tc>
          <w:tcPr>
            <w:tcW w:w="1730" w:type="dxa"/>
          </w:tcPr>
          <w:p w14:paraId="7DC8B07E" w14:textId="60A994B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1727C74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1427FC" w14:textId="6A3757A9"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C4ED5CC" w14:textId="77777777" w:rsidR="004000B8" w:rsidRPr="003233BA" w:rsidRDefault="004000B8" w:rsidP="004000B8">
            <w:pPr>
              <w:pStyle w:val="BodyText"/>
              <w:rPr>
                <w:rFonts w:cstheme="minorHAnsi"/>
                <w:bCs/>
              </w:rPr>
            </w:pPr>
          </w:p>
        </w:tc>
      </w:tr>
      <w:tr w:rsidR="004000B8" w:rsidRPr="007A0F4A" w14:paraId="0C63A655" w14:textId="77777777" w:rsidTr="00576563">
        <w:tc>
          <w:tcPr>
            <w:tcW w:w="1730" w:type="dxa"/>
          </w:tcPr>
          <w:p w14:paraId="26D7CFE8" w14:textId="64BAE16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404FC43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F27FA2D" w14:textId="42B25BAC" w:rsidR="004000B8" w:rsidRPr="00332B53" w:rsidRDefault="00FC694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BB57C05" w14:textId="77777777" w:rsidR="004000B8" w:rsidRPr="003233BA" w:rsidRDefault="004000B8" w:rsidP="004000B8">
            <w:pPr>
              <w:pStyle w:val="BodyText"/>
              <w:rPr>
                <w:rFonts w:cstheme="minorHAnsi"/>
                <w:bCs/>
              </w:rPr>
            </w:pPr>
          </w:p>
        </w:tc>
      </w:tr>
      <w:tr w:rsidR="004000B8" w:rsidRPr="007A0F4A" w14:paraId="5DD91DC4" w14:textId="77777777" w:rsidTr="00576563">
        <w:tc>
          <w:tcPr>
            <w:tcW w:w="1730" w:type="dxa"/>
          </w:tcPr>
          <w:p w14:paraId="02106485" w14:textId="7066441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49ED036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4A966E3" w14:textId="4A9C3842"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appears reasonable.</w:t>
            </w:r>
          </w:p>
        </w:tc>
        <w:tc>
          <w:tcPr>
            <w:tcW w:w="3752" w:type="dxa"/>
            <w:shd w:val="clear" w:color="auto" w:fill="E2EFD9" w:themeFill="accent6" w:themeFillTint="33"/>
          </w:tcPr>
          <w:p w14:paraId="11DCC75E" w14:textId="77777777" w:rsidR="004000B8" w:rsidRPr="003233BA" w:rsidRDefault="004000B8" w:rsidP="004000B8">
            <w:pPr>
              <w:pStyle w:val="BodyText"/>
              <w:rPr>
                <w:rFonts w:cstheme="minorHAnsi"/>
                <w:bCs/>
              </w:rPr>
            </w:pPr>
          </w:p>
        </w:tc>
      </w:tr>
      <w:tr w:rsidR="004000B8" w:rsidRPr="007A0F4A" w14:paraId="04DD63FD" w14:textId="77777777" w:rsidTr="00576563">
        <w:tc>
          <w:tcPr>
            <w:tcW w:w="14081" w:type="dxa"/>
            <w:gridSpan w:val="4"/>
            <w:shd w:val="clear" w:color="auto" w:fill="E2EFD9" w:themeFill="accent6" w:themeFillTint="33"/>
          </w:tcPr>
          <w:p w14:paraId="311B717C"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4CD77C7" w14:textId="36952704" w:rsidR="00827155" w:rsidRDefault="00827155">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2E2CBB" w:rsidRPr="007A0F4A" w14:paraId="1ABBA06A"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A37B11" w14:textId="77777777" w:rsidR="002E2CBB" w:rsidRPr="007A0F4A" w:rsidRDefault="002E2CB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6B52F04" w14:textId="77777777" w:rsidR="002E2CBB" w:rsidRPr="007A0F4A" w:rsidRDefault="002E2CB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FD97F67" w14:textId="77777777" w:rsidR="002E2CBB" w:rsidRPr="007A0F4A" w:rsidRDefault="002E2CB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5F948D1" w14:textId="4CDC82EC" w:rsidR="002E2CBB" w:rsidRPr="007A0F4A" w:rsidRDefault="003B4D24">
            <w:pPr>
              <w:pStyle w:val="BodyTextNoSpacing"/>
              <w:numPr>
                <w:ilvl w:val="0"/>
                <w:numId w:val="3"/>
              </w:numPr>
              <w:rPr>
                <w:rFonts w:asciiTheme="minorHAnsi" w:hAnsiTheme="minorHAnsi" w:cstheme="minorHAnsi"/>
                <w:bCs/>
                <w:sz w:val="22"/>
                <w:szCs w:val="22"/>
              </w:rPr>
            </w:pPr>
            <w:r w:rsidRPr="003B4D24">
              <w:t>Should the Exceed Curtailment Price be determined and fixed at the time of the Customer accepting their connection offer, or at the time the Curtailment occurs? Please provide your reasons.</w:t>
            </w:r>
          </w:p>
        </w:tc>
        <w:tc>
          <w:tcPr>
            <w:tcW w:w="3752" w:type="dxa"/>
            <w:shd w:val="clear" w:color="auto" w:fill="E2EFD9" w:themeFill="accent6" w:themeFillTint="33"/>
          </w:tcPr>
          <w:p w14:paraId="676B4ED1" w14:textId="77777777" w:rsidR="002E2CBB" w:rsidRPr="007A0F4A" w:rsidRDefault="002E2CBB"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7A0F4A" w14:paraId="31CDE8FE" w14:textId="77777777" w:rsidTr="00576563">
        <w:tc>
          <w:tcPr>
            <w:tcW w:w="1730" w:type="dxa"/>
          </w:tcPr>
          <w:p w14:paraId="221FC169" w14:textId="437029F2"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74B8EF2"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8B79D6C" w14:textId="03C74A06" w:rsidR="00895CE0" w:rsidRPr="00332B53" w:rsidRDefault="00895CE0" w:rsidP="00AA4A1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Upon the time the connection offer has been accepted, this will manage expectations and give the customer certainty of their exceeded curtailment price throughout the time that their connection is curtailable</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671F2B52" w14:textId="77777777" w:rsidR="00895CE0" w:rsidRPr="003233BA" w:rsidRDefault="00895CE0" w:rsidP="00576563">
            <w:pPr>
              <w:pStyle w:val="BodyText"/>
              <w:rPr>
                <w:rFonts w:cstheme="minorHAnsi"/>
                <w:bCs/>
              </w:rPr>
            </w:pPr>
          </w:p>
        </w:tc>
      </w:tr>
      <w:tr w:rsidR="004000B8" w:rsidRPr="007A0F4A" w14:paraId="48C93596" w14:textId="77777777" w:rsidTr="00576563">
        <w:tc>
          <w:tcPr>
            <w:tcW w:w="1730" w:type="dxa"/>
          </w:tcPr>
          <w:p w14:paraId="28B5B0A6" w14:textId="5972902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5D46A9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AEE9FA1" w14:textId="4F907651"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think the Exceed Curtailment Price should be determined and fixed at the time of the Customer accepting their connection offer as this will be a necessary part of their investment decision.</w:t>
            </w:r>
          </w:p>
        </w:tc>
        <w:tc>
          <w:tcPr>
            <w:tcW w:w="3752" w:type="dxa"/>
            <w:shd w:val="clear" w:color="auto" w:fill="E2EFD9" w:themeFill="accent6" w:themeFillTint="33"/>
          </w:tcPr>
          <w:p w14:paraId="2F6ECD5D" w14:textId="77777777" w:rsidR="004000B8" w:rsidRPr="003233BA" w:rsidRDefault="004000B8" w:rsidP="004000B8">
            <w:pPr>
              <w:pStyle w:val="BodyText"/>
              <w:rPr>
                <w:rFonts w:cstheme="minorHAnsi"/>
                <w:bCs/>
              </w:rPr>
            </w:pPr>
          </w:p>
        </w:tc>
      </w:tr>
      <w:tr w:rsidR="004000B8" w:rsidRPr="007A0F4A" w14:paraId="363B748B" w14:textId="77777777" w:rsidTr="00576563">
        <w:tc>
          <w:tcPr>
            <w:tcW w:w="1730" w:type="dxa"/>
          </w:tcPr>
          <w:p w14:paraId="0B28CBB6" w14:textId="1B11141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71BB7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D68B22F" w14:textId="6B8CF346"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 varying price is more consistent with the principles set out in the Access SCR Decision and Access SCR Direction and is also more consistent with the market value of the actual curtailment done.</w:t>
            </w:r>
          </w:p>
        </w:tc>
        <w:tc>
          <w:tcPr>
            <w:tcW w:w="3752" w:type="dxa"/>
            <w:shd w:val="clear" w:color="auto" w:fill="E2EFD9" w:themeFill="accent6" w:themeFillTint="33"/>
          </w:tcPr>
          <w:p w14:paraId="7488914F" w14:textId="77777777" w:rsidR="004000B8" w:rsidRPr="003233BA" w:rsidRDefault="004000B8" w:rsidP="004000B8">
            <w:pPr>
              <w:pStyle w:val="BodyText"/>
              <w:rPr>
                <w:rFonts w:cstheme="minorHAnsi"/>
                <w:bCs/>
              </w:rPr>
            </w:pPr>
          </w:p>
        </w:tc>
      </w:tr>
      <w:tr w:rsidR="004000B8" w:rsidRPr="007A0F4A" w14:paraId="59DECAD5" w14:textId="77777777" w:rsidTr="00576563">
        <w:tc>
          <w:tcPr>
            <w:tcW w:w="1730" w:type="dxa"/>
          </w:tcPr>
          <w:p w14:paraId="3FE47D00" w14:textId="793B993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3B9C51F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701A9A7" w14:textId="7AAC8C35"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Fixing the exceeded curtailment price may provide price certainty to customers but could lead to perverse incentives if the price at the time of contract was lower due to market conditions.</w:t>
            </w:r>
          </w:p>
        </w:tc>
        <w:tc>
          <w:tcPr>
            <w:tcW w:w="3752" w:type="dxa"/>
            <w:shd w:val="clear" w:color="auto" w:fill="E2EFD9" w:themeFill="accent6" w:themeFillTint="33"/>
          </w:tcPr>
          <w:p w14:paraId="15D65099" w14:textId="77777777" w:rsidR="004000B8" w:rsidRPr="003233BA" w:rsidRDefault="004000B8" w:rsidP="004000B8">
            <w:pPr>
              <w:pStyle w:val="BodyText"/>
              <w:rPr>
                <w:rFonts w:cstheme="minorHAnsi"/>
                <w:bCs/>
              </w:rPr>
            </w:pPr>
          </w:p>
        </w:tc>
      </w:tr>
      <w:tr w:rsidR="004000B8" w:rsidRPr="007A0F4A" w14:paraId="6EECA45B" w14:textId="77777777" w:rsidTr="00576563">
        <w:tc>
          <w:tcPr>
            <w:tcW w:w="1730" w:type="dxa"/>
          </w:tcPr>
          <w:p w14:paraId="6638F161" w14:textId="7E724A1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530" w:type="dxa"/>
          </w:tcPr>
          <w:p w14:paraId="319104E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3761CFD" w14:textId="4DFFDDE9" w:rsidR="004000B8" w:rsidRPr="00332B53" w:rsidRDefault="001A138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Fixing the exceeded curtailment price may provide price certainty to customers but could lead to perverse incentives if the price at the time of contract was lower due to market conditions.</w:t>
            </w:r>
          </w:p>
        </w:tc>
        <w:tc>
          <w:tcPr>
            <w:tcW w:w="3752" w:type="dxa"/>
            <w:shd w:val="clear" w:color="auto" w:fill="E2EFD9" w:themeFill="accent6" w:themeFillTint="33"/>
          </w:tcPr>
          <w:p w14:paraId="0542CE2F" w14:textId="77777777" w:rsidR="004000B8" w:rsidRPr="003233BA" w:rsidRDefault="004000B8" w:rsidP="004000B8">
            <w:pPr>
              <w:pStyle w:val="BodyText"/>
              <w:rPr>
                <w:rFonts w:cstheme="minorHAnsi"/>
                <w:bCs/>
              </w:rPr>
            </w:pPr>
          </w:p>
        </w:tc>
      </w:tr>
      <w:tr w:rsidR="004000B8" w:rsidRPr="007A0F4A" w14:paraId="2EB03178" w14:textId="77777777" w:rsidTr="00576563">
        <w:tc>
          <w:tcPr>
            <w:tcW w:w="1730" w:type="dxa"/>
          </w:tcPr>
          <w:p w14:paraId="12E466C1" w14:textId="019156A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F46AB5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5280F68" w14:textId="0ADAAA83"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prefer that the Exceeded Curtailment Price should be dynamic and change periodically (noting the intention that the Flexibility Market Price Statement is published biannually). Whilst fixing the Exceeded Curtailment Price at the time of the Customer accepting the connection offer provides certainty to a Customer, we believe that it should continue to reflect changing market conditions (which may or may not favour the Customer).</w:t>
            </w:r>
          </w:p>
        </w:tc>
        <w:tc>
          <w:tcPr>
            <w:tcW w:w="3752" w:type="dxa"/>
            <w:shd w:val="clear" w:color="auto" w:fill="E2EFD9" w:themeFill="accent6" w:themeFillTint="33"/>
          </w:tcPr>
          <w:p w14:paraId="5CE3EAB6" w14:textId="77777777" w:rsidR="004000B8" w:rsidRPr="003233BA" w:rsidRDefault="004000B8" w:rsidP="004000B8">
            <w:pPr>
              <w:pStyle w:val="BodyText"/>
              <w:rPr>
                <w:rFonts w:cstheme="minorHAnsi"/>
                <w:bCs/>
              </w:rPr>
            </w:pPr>
          </w:p>
        </w:tc>
      </w:tr>
      <w:tr w:rsidR="004000B8" w:rsidRPr="007A0F4A" w14:paraId="5CDC4E32" w14:textId="77777777" w:rsidTr="00576563">
        <w:tc>
          <w:tcPr>
            <w:tcW w:w="1730" w:type="dxa"/>
          </w:tcPr>
          <w:p w14:paraId="16A7601C" w14:textId="3FB6401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E1ED51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FE17F56" w14:textId="73DD8B3B"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In order to ensure the Exceeded Curtailment Price remains reflective of current market conditions,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and as far as possible represents the cost of alternative actions (eg. flexibility procurement) at thatpoint in time, we recommend that the Exceeded Curtailment Price varies throughout the connection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offer. This curtailment limit should be a determining factor as to whether a customer accepts or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declines a connection offer, rather than the cost of exceeded curtailment which they may or may not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receive. Therefore we do not believe customers need this certainty at the time of accepting their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connection offer as it will not and should not be a key determining factor in the connection offer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process.</w:t>
            </w:r>
          </w:p>
        </w:tc>
        <w:tc>
          <w:tcPr>
            <w:tcW w:w="3752" w:type="dxa"/>
            <w:shd w:val="clear" w:color="auto" w:fill="E2EFD9" w:themeFill="accent6" w:themeFillTint="33"/>
          </w:tcPr>
          <w:p w14:paraId="38DEF7FC" w14:textId="77777777" w:rsidR="004000B8" w:rsidRPr="003233BA" w:rsidRDefault="004000B8" w:rsidP="004000B8">
            <w:pPr>
              <w:pStyle w:val="BodyText"/>
              <w:rPr>
                <w:rFonts w:cstheme="minorHAnsi"/>
                <w:bCs/>
              </w:rPr>
            </w:pPr>
          </w:p>
        </w:tc>
      </w:tr>
      <w:tr w:rsidR="004000B8" w:rsidRPr="007A0F4A" w14:paraId="148B6675" w14:textId="77777777" w:rsidTr="00576563">
        <w:tc>
          <w:tcPr>
            <w:tcW w:w="1730" w:type="dxa"/>
          </w:tcPr>
          <w:p w14:paraId="43916A9B" w14:textId="4DC4F8F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CB388E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E97385E" w14:textId="3134C77C"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It should be fixed at the time of customer accepting their connection offer but only for a maximum period.  The fixed period gives the customer certainty for a reasonable period of time whilst protecting customers from possibly permanent highly prices.</w:t>
            </w:r>
          </w:p>
        </w:tc>
        <w:tc>
          <w:tcPr>
            <w:tcW w:w="3752" w:type="dxa"/>
            <w:shd w:val="clear" w:color="auto" w:fill="E2EFD9" w:themeFill="accent6" w:themeFillTint="33"/>
          </w:tcPr>
          <w:p w14:paraId="1A5A4811" w14:textId="77777777" w:rsidR="004000B8" w:rsidRPr="003233BA" w:rsidRDefault="004000B8" w:rsidP="004000B8">
            <w:pPr>
              <w:pStyle w:val="BodyText"/>
              <w:rPr>
                <w:rFonts w:cstheme="minorHAnsi"/>
                <w:bCs/>
              </w:rPr>
            </w:pPr>
          </w:p>
        </w:tc>
      </w:tr>
      <w:tr w:rsidR="004000B8" w:rsidRPr="007A0F4A" w14:paraId="72D7EC30" w14:textId="77777777" w:rsidTr="00576563">
        <w:tc>
          <w:tcPr>
            <w:tcW w:w="1730" w:type="dxa"/>
          </w:tcPr>
          <w:p w14:paraId="2B05B8FB" w14:textId="60FB8B31"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1596510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EEB101A" w14:textId="7777777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Being fixed at the time of accepting the offer would give customers more certainty and enable them to judge the appropriateness of the offer for their specific circumstances. Most users are unlikely to have the resources to understand and apply the risk from changing market prices in any meaningful manner. </w:t>
            </w:r>
          </w:p>
          <w:p w14:paraId="42B0075C" w14:textId="2FF81FCC"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This aspect should be considered with regards to the End Date – a fixed price for 10+ years is less appropriate than a fixed price for a </w:t>
            </w:r>
            <w:proofErr w:type="gramStart"/>
            <w:r w:rsidRPr="00332B53">
              <w:rPr>
                <w:rFonts w:asciiTheme="minorHAnsi" w:hAnsiTheme="minorHAnsi" w:cstheme="minorHAnsi"/>
                <w:bCs/>
                <w:sz w:val="22"/>
                <w:szCs w:val="22"/>
                <w:lang w:val="en-GB"/>
              </w:rPr>
              <w:t>1 year</w:t>
            </w:r>
            <w:proofErr w:type="gramEnd"/>
            <w:r w:rsidRPr="00332B53">
              <w:rPr>
                <w:rFonts w:asciiTheme="minorHAnsi" w:hAnsiTheme="minorHAnsi" w:cstheme="minorHAnsi"/>
                <w:bCs/>
                <w:sz w:val="22"/>
                <w:szCs w:val="22"/>
                <w:lang w:val="en-GB"/>
              </w:rPr>
              <w:t xml:space="preserve"> contract. The workgroup could consider a fixed price for maximum of [5] years, after which the Exceeded Curtailment Price reflects current market conditions. It would be more complicated for the DNOs (as they would need to run both methodologies) and could create the situation where consumers under similar conditions (identical except for the date they signed) are paid noticeably different Exceeded Curtailment Prices. It would also be less necessary should </w:t>
            </w:r>
            <w:proofErr w:type="gramStart"/>
            <w:r w:rsidRPr="00332B53">
              <w:rPr>
                <w:rFonts w:asciiTheme="minorHAnsi" w:hAnsiTheme="minorHAnsi" w:cstheme="minorHAnsi"/>
                <w:bCs/>
                <w:sz w:val="22"/>
                <w:szCs w:val="22"/>
                <w:lang w:val="en-GB"/>
              </w:rPr>
              <w:t>the vast majority of</w:t>
            </w:r>
            <w:proofErr w:type="gramEnd"/>
            <w:r w:rsidRPr="00332B53">
              <w:rPr>
                <w:rFonts w:asciiTheme="minorHAnsi" w:hAnsiTheme="minorHAnsi" w:cstheme="minorHAnsi"/>
                <w:bCs/>
                <w:sz w:val="22"/>
                <w:szCs w:val="22"/>
                <w:lang w:val="en-GB"/>
              </w:rPr>
              <w:t xml:space="preserve"> curtailable contracts end before [5] years, so the materiality would decrease. On balance, this is not an alternative I would propose unless there is support from the workgroup.</w:t>
            </w:r>
          </w:p>
        </w:tc>
        <w:tc>
          <w:tcPr>
            <w:tcW w:w="3752" w:type="dxa"/>
            <w:shd w:val="clear" w:color="auto" w:fill="E2EFD9" w:themeFill="accent6" w:themeFillTint="33"/>
          </w:tcPr>
          <w:p w14:paraId="761731A1" w14:textId="77777777" w:rsidR="004000B8" w:rsidRPr="003233BA" w:rsidRDefault="004000B8" w:rsidP="004000B8">
            <w:pPr>
              <w:pStyle w:val="BodyText"/>
              <w:rPr>
                <w:rFonts w:asciiTheme="minorHAnsi" w:hAnsiTheme="minorHAnsi" w:cstheme="minorHAnsi"/>
                <w:bCs/>
                <w:sz w:val="22"/>
                <w:szCs w:val="22"/>
                <w:lang w:val="en-GB"/>
              </w:rPr>
            </w:pPr>
          </w:p>
        </w:tc>
      </w:tr>
      <w:tr w:rsidR="004000B8" w:rsidRPr="007A0F4A" w14:paraId="132D30C0" w14:textId="77777777" w:rsidTr="00576563">
        <w:tc>
          <w:tcPr>
            <w:tcW w:w="1730" w:type="dxa"/>
          </w:tcPr>
          <w:p w14:paraId="57958995" w14:textId="2D17B36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ECBFB3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271178B" w14:textId="0925143C" w:rsidR="004000B8" w:rsidRPr="00332B53" w:rsidRDefault="000C6C27" w:rsidP="000C6C27">
            <w:pPr>
              <w:rPr>
                <w:rFonts w:asciiTheme="minorHAnsi" w:hAnsiTheme="minorHAnsi" w:cstheme="minorHAnsi"/>
                <w:bCs/>
                <w:sz w:val="22"/>
                <w:szCs w:val="22"/>
              </w:rPr>
            </w:pPr>
            <w:r w:rsidRPr="00332B53">
              <w:rPr>
                <w:rFonts w:asciiTheme="minorHAnsi" w:hAnsiTheme="minorHAnsi" w:cstheme="minorHAnsi"/>
                <w:bCs/>
                <w:sz w:val="22"/>
                <w:szCs w:val="22"/>
              </w:rPr>
              <w:t>We believe the price should be as per that at the time the Curtailment occurs as this will more closely reflect the market price of flexibility.  The Connection Offer could be issued a number of years prior to any exceeded curtailment and therefore a price set at that time may not reflect the latest market prices.  Distribution flexibility markets are evolving, with new services and approaches being developed, setting a price far in advance does not allow the price paid to be based on the current services and market value.</w:t>
            </w:r>
          </w:p>
        </w:tc>
        <w:tc>
          <w:tcPr>
            <w:tcW w:w="3752" w:type="dxa"/>
            <w:shd w:val="clear" w:color="auto" w:fill="E2EFD9" w:themeFill="accent6" w:themeFillTint="33"/>
          </w:tcPr>
          <w:p w14:paraId="17A0E991" w14:textId="77777777" w:rsidR="004000B8" w:rsidRPr="003233BA" w:rsidRDefault="004000B8" w:rsidP="004000B8">
            <w:pPr>
              <w:pStyle w:val="BodyText"/>
              <w:rPr>
                <w:rFonts w:cstheme="minorHAnsi"/>
                <w:bCs/>
              </w:rPr>
            </w:pPr>
          </w:p>
        </w:tc>
      </w:tr>
      <w:tr w:rsidR="004000B8" w:rsidRPr="007A0F4A" w14:paraId="1493549D" w14:textId="77777777" w:rsidTr="00576563">
        <w:tc>
          <w:tcPr>
            <w:tcW w:w="1730" w:type="dxa"/>
          </w:tcPr>
          <w:p w14:paraId="6A19477B" w14:textId="014AB07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66D833D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F48B59E" w14:textId="0008524C"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consider that the price at the time of the curtailment limit being exceeded more appropriately reflects market conditions (at least, within the </w:t>
            </w:r>
            <w:r w:rsidRPr="00332B53">
              <w:rPr>
                <w:rFonts w:asciiTheme="minorHAnsi" w:hAnsiTheme="minorHAnsi" w:cstheme="minorHAnsi"/>
                <w:bCs/>
                <w:sz w:val="22"/>
                <w:szCs w:val="22"/>
              </w:rPr>
              <w:lastRenderedPageBreak/>
              <w:t>last six months, as per the twice-yearly Flexibility Market Price Statements), which we favour.</w:t>
            </w:r>
          </w:p>
        </w:tc>
        <w:tc>
          <w:tcPr>
            <w:tcW w:w="3752" w:type="dxa"/>
            <w:shd w:val="clear" w:color="auto" w:fill="E2EFD9" w:themeFill="accent6" w:themeFillTint="33"/>
          </w:tcPr>
          <w:p w14:paraId="736C15F5" w14:textId="77777777" w:rsidR="004000B8" w:rsidRPr="003233BA" w:rsidRDefault="004000B8" w:rsidP="004000B8">
            <w:pPr>
              <w:pStyle w:val="BodyText"/>
              <w:rPr>
                <w:rFonts w:cstheme="minorHAnsi"/>
                <w:bCs/>
              </w:rPr>
            </w:pPr>
          </w:p>
        </w:tc>
      </w:tr>
      <w:tr w:rsidR="004000B8" w:rsidRPr="007A0F4A" w14:paraId="13F69BFC" w14:textId="77777777" w:rsidTr="00576563">
        <w:tc>
          <w:tcPr>
            <w:tcW w:w="1730" w:type="dxa"/>
          </w:tcPr>
          <w:p w14:paraId="5F13C790" w14:textId="29609F9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14DBD4B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07CAF3F" w14:textId="58B33761"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This price is designed to disincentive excess curtailment by the DNO and as such should be reflecteive of the current market conditions.</w:t>
            </w:r>
          </w:p>
        </w:tc>
        <w:tc>
          <w:tcPr>
            <w:tcW w:w="3752" w:type="dxa"/>
            <w:shd w:val="clear" w:color="auto" w:fill="E2EFD9" w:themeFill="accent6" w:themeFillTint="33"/>
          </w:tcPr>
          <w:p w14:paraId="5A5BEF42" w14:textId="77777777" w:rsidR="004000B8" w:rsidRPr="003233BA" w:rsidRDefault="004000B8" w:rsidP="004000B8">
            <w:pPr>
              <w:pStyle w:val="BodyText"/>
              <w:rPr>
                <w:rFonts w:cstheme="minorHAnsi"/>
                <w:bCs/>
              </w:rPr>
            </w:pPr>
          </w:p>
        </w:tc>
      </w:tr>
      <w:tr w:rsidR="004000B8" w:rsidRPr="007A0F4A" w14:paraId="5E3A67E4" w14:textId="77777777" w:rsidTr="00576563">
        <w:tc>
          <w:tcPr>
            <w:tcW w:w="1730" w:type="dxa"/>
          </w:tcPr>
          <w:p w14:paraId="3FE06927" w14:textId="7AD7664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F2EC2C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FF31C51" w14:textId="2DEC0BDB"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This should be fixed at the time of evaluating their connection offer to provide certainty to customers as this could impact the financial viability of the project being connected.</w:t>
            </w:r>
          </w:p>
        </w:tc>
        <w:tc>
          <w:tcPr>
            <w:tcW w:w="3752" w:type="dxa"/>
            <w:shd w:val="clear" w:color="auto" w:fill="E2EFD9" w:themeFill="accent6" w:themeFillTint="33"/>
          </w:tcPr>
          <w:p w14:paraId="0C9228F8" w14:textId="77777777" w:rsidR="004000B8" w:rsidRPr="003233BA" w:rsidRDefault="004000B8" w:rsidP="004000B8">
            <w:pPr>
              <w:pStyle w:val="BodyText"/>
              <w:rPr>
                <w:rFonts w:cstheme="minorHAnsi"/>
                <w:bCs/>
              </w:rPr>
            </w:pPr>
          </w:p>
        </w:tc>
      </w:tr>
      <w:tr w:rsidR="004000B8" w:rsidRPr="007A0F4A" w14:paraId="4611FD67" w14:textId="77777777" w:rsidTr="00576563">
        <w:tc>
          <w:tcPr>
            <w:tcW w:w="1730" w:type="dxa"/>
          </w:tcPr>
          <w:p w14:paraId="68940441" w14:textId="347CACB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174148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D44032A" w14:textId="78D26344"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Price at the time of the curtailment occurrence, as we believe this would give a more accurate price for the curtailment event.</w:t>
            </w:r>
          </w:p>
        </w:tc>
        <w:tc>
          <w:tcPr>
            <w:tcW w:w="3752" w:type="dxa"/>
            <w:shd w:val="clear" w:color="auto" w:fill="E2EFD9" w:themeFill="accent6" w:themeFillTint="33"/>
          </w:tcPr>
          <w:p w14:paraId="253A3BB9" w14:textId="77777777" w:rsidR="004000B8" w:rsidRPr="003233BA" w:rsidRDefault="004000B8" w:rsidP="004000B8">
            <w:pPr>
              <w:pStyle w:val="BodyText"/>
              <w:rPr>
                <w:rFonts w:cstheme="minorHAnsi"/>
                <w:bCs/>
              </w:rPr>
            </w:pPr>
          </w:p>
        </w:tc>
      </w:tr>
      <w:tr w:rsidR="004000B8" w:rsidRPr="007A0F4A" w14:paraId="1A6B73FB" w14:textId="77777777" w:rsidTr="00576563">
        <w:tc>
          <w:tcPr>
            <w:tcW w:w="14081" w:type="dxa"/>
            <w:gridSpan w:val="4"/>
            <w:shd w:val="clear" w:color="auto" w:fill="E2EFD9" w:themeFill="accent6" w:themeFillTint="33"/>
          </w:tcPr>
          <w:p w14:paraId="608CF3A2"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13068831" w14:textId="53510957" w:rsidR="002E2CBB" w:rsidRDefault="002E2CBB">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3B4D24" w:rsidRPr="007A0F4A" w14:paraId="0D86C4C7"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37ECC6D" w14:textId="77777777" w:rsidR="003B4D24" w:rsidRPr="007A0F4A" w:rsidRDefault="003B4D24"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2755314" w14:textId="77777777" w:rsidR="003B4D24" w:rsidRPr="007A0F4A" w:rsidRDefault="003B4D24"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010C2C" w14:textId="77777777" w:rsidR="003B4D24" w:rsidRPr="007A0F4A" w:rsidRDefault="003B4D24"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53CA8A9" w14:textId="57BE7222" w:rsidR="003B4D24" w:rsidRPr="007A0F4A" w:rsidRDefault="001C12C3">
            <w:pPr>
              <w:pStyle w:val="BodyTextNoSpacing"/>
              <w:numPr>
                <w:ilvl w:val="0"/>
                <w:numId w:val="3"/>
              </w:numPr>
              <w:rPr>
                <w:rFonts w:asciiTheme="minorHAnsi" w:hAnsiTheme="minorHAnsi" w:cstheme="minorHAnsi"/>
                <w:bCs/>
                <w:sz w:val="22"/>
                <w:szCs w:val="22"/>
              </w:rPr>
            </w:pPr>
            <w:r w:rsidRPr="001C12C3">
              <w:t>Do you believe that a separate Exceeded Curtailment Price should be applied for import and export? Please provide your reasons.</w:t>
            </w:r>
          </w:p>
        </w:tc>
        <w:tc>
          <w:tcPr>
            <w:tcW w:w="3752" w:type="dxa"/>
            <w:shd w:val="clear" w:color="auto" w:fill="E2EFD9" w:themeFill="accent6" w:themeFillTint="33"/>
          </w:tcPr>
          <w:p w14:paraId="731F2978" w14:textId="77777777" w:rsidR="003B4D24" w:rsidRPr="007A0F4A" w:rsidRDefault="003B4D24"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710F505" w14:textId="77777777" w:rsidTr="00576563">
        <w:tc>
          <w:tcPr>
            <w:tcW w:w="1730" w:type="dxa"/>
          </w:tcPr>
          <w:p w14:paraId="4A33290D" w14:textId="50947A10"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7BAAC3E"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3F6E9C2B" w14:textId="2AAC1957"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that there is merit in separate prices for import and export as this would allow for  more relevant prices to each import and export.</w:t>
            </w:r>
          </w:p>
        </w:tc>
        <w:tc>
          <w:tcPr>
            <w:tcW w:w="3752" w:type="dxa"/>
            <w:shd w:val="clear" w:color="auto" w:fill="E2EFD9" w:themeFill="accent6" w:themeFillTint="33"/>
          </w:tcPr>
          <w:p w14:paraId="1169E8B4"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7C202320" w14:textId="77777777" w:rsidTr="00576563">
        <w:tc>
          <w:tcPr>
            <w:tcW w:w="1730" w:type="dxa"/>
          </w:tcPr>
          <w:p w14:paraId="1FAEBB23" w14:textId="6C14C7C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D4DF08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2122BF7" w14:textId="2A212881"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the tendered prices for Distribution Flexibility Services may be significantly different for import and export.</w:t>
            </w:r>
          </w:p>
        </w:tc>
        <w:tc>
          <w:tcPr>
            <w:tcW w:w="3752" w:type="dxa"/>
            <w:shd w:val="clear" w:color="auto" w:fill="E2EFD9" w:themeFill="accent6" w:themeFillTint="33"/>
          </w:tcPr>
          <w:p w14:paraId="0E2D54F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D64290D" w14:textId="77777777" w:rsidTr="00576563">
        <w:tc>
          <w:tcPr>
            <w:tcW w:w="1730" w:type="dxa"/>
          </w:tcPr>
          <w:p w14:paraId="224AA56D" w14:textId="7440B4D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530" w:type="dxa"/>
          </w:tcPr>
          <w:p w14:paraId="24B9070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94FC633" w14:textId="2AE8314E"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Whilst in principle, separate prices could apply for import and export the data doesn’t currently exist to support this.</w:t>
            </w:r>
          </w:p>
        </w:tc>
        <w:tc>
          <w:tcPr>
            <w:tcW w:w="3752" w:type="dxa"/>
            <w:shd w:val="clear" w:color="auto" w:fill="E2EFD9" w:themeFill="accent6" w:themeFillTint="33"/>
          </w:tcPr>
          <w:p w14:paraId="34737BE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2D04B02" w14:textId="77777777" w:rsidTr="00576563">
        <w:tc>
          <w:tcPr>
            <w:tcW w:w="1730" w:type="dxa"/>
          </w:tcPr>
          <w:p w14:paraId="6654B014" w14:textId="7165B7A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9F3E46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C8D3367" w14:textId="2C50C317"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This option would lead to increased uncertainty and should only be pursued if a quantifiable benefit could be obtained from separating the two prices. Additionally, we note that this may have an impact in more constrained geographical regions but think that consistency between DNOs should be preferred.</w:t>
            </w:r>
          </w:p>
        </w:tc>
        <w:tc>
          <w:tcPr>
            <w:tcW w:w="3752" w:type="dxa"/>
            <w:shd w:val="clear" w:color="auto" w:fill="E2EFD9" w:themeFill="accent6" w:themeFillTint="33"/>
          </w:tcPr>
          <w:p w14:paraId="4FF9F24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8FD00F7" w14:textId="77777777" w:rsidTr="00576563">
        <w:tc>
          <w:tcPr>
            <w:tcW w:w="1730" w:type="dxa"/>
          </w:tcPr>
          <w:p w14:paraId="1675AC1A" w14:textId="66425F2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3B5813B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F9757A" w14:textId="02442BCA" w:rsidR="004000B8" w:rsidRPr="00332B53" w:rsidRDefault="001A138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This option would lead to increased uncertainty and should only be pursued if a quantifiable benefit could be obtained from separating the two prices.</w:t>
            </w:r>
          </w:p>
        </w:tc>
        <w:tc>
          <w:tcPr>
            <w:tcW w:w="3752" w:type="dxa"/>
            <w:shd w:val="clear" w:color="auto" w:fill="E2EFD9" w:themeFill="accent6" w:themeFillTint="33"/>
          </w:tcPr>
          <w:p w14:paraId="491C97E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BADED5B" w14:textId="77777777" w:rsidTr="00576563">
        <w:tc>
          <w:tcPr>
            <w:tcW w:w="1730" w:type="dxa"/>
          </w:tcPr>
          <w:p w14:paraId="21E8C12C" w14:textId="1B490F8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794782E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775FAE3" w14:textId="20900B3E"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prefer separate prices for the Exceeded Curtailment Price regardless of whether the price for import/export is the same. We agree that data availability is a key factor, but that should be reflected in a different price applied to import/export rather than use of different parameters.</w:t>
            </w:r>
          </w:p>
        </w:tc>
        <w:tc>
          <w:tcPr>
            <w:tcW w:w="3752" w:type="dxa"/>
            <w:shd w:val="clear" w:color="auto" w:fill="E2EFD9" w:themeFill="accent6" w:themeFillTint="33"/>
          </w:tcPr>
          <w:p w14:paraId="1426B30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4E8A936" w14:textId="77777777" w:rsidTr="00576563">
        <w:tc>
          <w:tcPr>
            <w:tcW w:w="1730" w:type="dxa"/>
          </w:tcPr>
          <w:p w14:paraId="7B7C5BA6" w14:textId="5CE6200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CD4EF9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FF7FFC5" w14:textId="1356E390"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281BFDE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5E861D5" w14:textId="77777777" w:rsidTr="00576563">
        <w:tc>
          <w:tcPr>
            <w:tcW w:w="1730" w:type="dxa"/>
          </w:tcPr>
          <w:p w14:paraId="75030C2A" w14:textId="0368D41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10F6A07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077D7B7" w14:textId="0F01ABF3"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Consistency and simplicity would be a better approach in a time of significant industry change.</w:t>
            </w:r>
          </w:p>
        </w:tc>
        <w:tc>
          <w:tcPr>
            <w:tcW w:w="3752" w:type="dxa"/>
            <w:shd w:val="clear" w:color="auto" w:fill="E2EFD9" w:themeFill="accent6" w:themeFillTint="33"/>
          </w:tcPr>
          <w:p w14:paraId="709B6E6E"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832FA60" w14:textId="77777777" w:rsidTr="00576563">
        <w:tc>
          <w:tcPr>
            <w:tcW w:w="1730" w:type="dxa"/>
          </w:tcPr>
          <w:p w14:paraId="0637B43A" w14:textId="3A87BED5"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209D5C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E5C3DA3" w14:textId="2F9C48B5" w:rsidR="004000B8" w:rsidRPr="00332B53" w:rsidRDefault="004000B8" w:rsidP="004000B8">
            <w:pPr>
              <w:pStyle w:val="BodyText"/>
              <w:rPr>
                <w:rFonts w:asciiTheme="minorHAnsi" w:hAnsiTheme="minorHAnsi" w:cstheme="minorHAnsi"/>
                <w:bCs/>
                <w:sz w:val="22"/>
                <w:szCs w:val="22"/>
                <w:lang w:val="en-GB"/>
              </w:rPr>
            </w:pPr>
            <w:proofErr w:type="gramStart"/>
            <w:r w:rsidRPr="00332B53">
              <w:rPr>
                <w:rFonts w:asciiTheme="minorHAnsi" w:hAnsiTheme="minorHAnsi" w:cstheme="minorHAnsi"/>
                <w:bCs/>
                <w:sz w:val="22"/>
                <w:szCs w:val="22"/>
                <w:lang w:val="en-GB"/>
              </w:rPr>
              <w:t>Yes</w:t>
            </w:r>
            <w:proofErr w:type="gramEnd"/>
            <w:r w:rsidRPr="00332B53">
              <w:rPr>
                <w:rFonts w:asciiTheme="minorHAnsi" w:hAnsiTheme="minorHAnsi" w:cstheme="minorHAnsi"/>
                <w:bCs/>
                <w:sz w:val="22"/>
                <w:szCs w:val="22"/>
                <w:lang w:val="en-GB"/>
              </w:rPr>
              <w:t xml:space="preserve"> as there are likely to be separate flexibility markets for generation assets/DSR.</w:t>
            </w:r>
          </w:p>
        </w:tc>
        <w:tc>
          <w:tcPr>
            <w:tcW w:w="3752" w:type="dxa"/>
            <w:shd w:val="clear" w:color="auto" w:fill="E2EFD9" w:themeFill="accent6" w:themeFillTint="33"/>
          </w:tcPr>
          <w:p w14:paraId="63B59571"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3CE9E3AA" w14:textId="77777777" w:rsidTr="00576563">
        <w:tc>
          <w:tcPr>
            <w:tcW w:w="1730" w:type="dxa"/>
          </w:tcPr>
          <w:p w14:paraId="7039B303" w14:textId="04B0D2A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30" w:type="dxa"/>
          </w:tcPr>
          <w:p w14:paraId="70957B5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1A99F2F" w14:textId="76DABEFE"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we believe there should be one exceeded curtailment price until there is sufficient evidence to demonstrate that they would be different.</w:t>
            </w:r>
          </w:p>
        </w:tc>
        <w:tc>
          <w:tcPr>
            <w:tcW w:w="3752" w:type="dxa"/>
            <w:shd w:val="clear" w:color="auto" w:fill="E2EFD9" w:themeFill="accent6" w:themeFillTint="33"/>
          </w:tcPr>
          <w:p w14:paraId="534C9B2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D5F69A5" w14:textId="77777777" w:rsidTr="00576563">
        <w:tc>
          <w:tcPr>
            <w:tcW w:w="1730" w:type="dxa"/>
          </w:tcPr>
          <w:p w14:paraId="52AC9D77" w14:textId="0E8D883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321C01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5A9EE9F"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Our preference would be for a separate Exceeded Curtailment Price to apply for import and export as we believe the pricing of and the types of assets able to offer each service, as well as the cost base of these are quite different. Moving forwards, the mix of import and export Flexibility Services contracted is likely to change depending on the changing asset base, therefore whatever is introduced, should be future proofed for this.</w:t>
            </w:r>
          </w:p>
          <w:p w14:paraId="533407CD"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the proposed legal text, para 6.2, sets out that distributors will determine a separate price for imports and exports where sufficient data is available. In addition, the consultation document refers to the alternative of using a single price.</w:t>
            </w:r>
          </w:p>
          <w:p w14:paraId="00D2EE61" w14:textId="514BDE08" w:rsidR="004000B8"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suggest that a provision needs to be added to the proposed legal text to set out the process of price determination in cases of ‘insufficient data’, and to define that term. We consider that the alternative process (i.e. where there is ‘insufficient data’) must be transparent (in accordance with the work - see Question 33 below - of the </w:t>
            </w:r>
            <w:r w:rsidRPr="00332B53">
              <w:rPr>
                <w:rFonts w:asciiTheme="minorHAnsi" w:hAnsiTheme="minorHAnsi" w:cstheme="minorHAnsi"/>
                <w:bCs/>
                <w:sz w:val="22"/>
                <w:szCs w:val="22"/>
              </w:rPr>
              <w:fldChar w:fldCharType="begin"/>
            </w:r>
            <w:r w:rsidRPr="00332B53">
              <w:rPr>
                <w:rFonts w:asciiTheme="minorHAnsi" w:hAnsiTheme="minorHAnsi" w:cstheme="minorHAnsi"/>
                <w:bCs/>
                <w:sz w:val="22"/>
                <w:szCs w:val="22"/>
              </w:rPr>
              <w:instrText xml:space="preserve"> HYPERLINK "https://www.gov.uk/government/groups/energy-data-taskforce" </w:instrText>
            </w:r>
            <w:r w:rsidRPr="00332B53">
              <w:rPr>
                <w:rFonts w:asciiTheme="minorHAnsi" w:hAnsiTheme="minorHAnsi" w:cstheme="minorHAnsi"/>
                <w:bCs/>
                <w:sz w:val="22"/>
                <w:szCs w:val="22"/>
              </w:rPr>
              <w:fldChar w:fldCharType="separate"/>
            </w:r>
            <w:r w:rsidRPr="00332B53">
              <w:rPr>
                <w:rStyle w:val="Hyperlink"/>
                <w:rFonts w:asciiTheme="minorHAnsi" w:hAnsiTheme="minorHAnsi" w:cstheme="minorHAnsi"/>
                <w:bCs/>
                <w:sz w:val="22"/>
                <w:szCs w:val="22"/>
              </w:rPr>
              <w:t>Energy Data Taskforce</w:t>
            </w:r>
            <w:r w:rsidRPr="00332B53">
              <w:rPr>
                <w:rFonts w:asciiTheme="minorHAnsi" w:hAnsiTheme="minorHAnsi" w:cstheme="minorHAnsi"/>
                <w:bCs/>
                <w:sz w:val="22"/>
                <w:szCs w:val="22"/>
              </w:rPr>
              <w:fldChar w:fldCharType="end"/>
            </w:r>
            <w:r w:rsidRPr="00332B53">
              <w:rPr>
                <w:rFonts w:asciiTheme="minorHAnsi" w:hAnsiTheme="minorHAnsi" w:cstheme="minorHAnsi"/>
                <w:bCs/>
                <w:sz w:val="22"/>
                <w:szCs w:val="22"/>
              </w:rPr>
              <w:t>) and harmonised across all distributors (as this leads to lower costs, in a competitive market, to end consumers).</w:t>
            </w:r>
          </w:p>
        </w:tc>
        <w:tc>
          <w:tcPr>
            <w:tcW w:w="3752" w:type="dxa"/>
            <w:shd w:val="clear" w:color="auto" w:fill="E2EFD9" w:themeFill="accent6" w:themeFillTint="33"/>
          </w:tcPr>
          <w:p w14:paraId="370F9F4F"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758DA13" w14:textId="77777777" w:rsidTr="00576563">
        <w:tc>
          <w:tcPr>
            <w:tcW w:w="1730" w:type="dxa"/>
          </w:tcPr>
          <w:p w14:paraId="7C2D2E45" w14:textId="66AF670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6C550ED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6273F06" w14:textId="61A59647"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Not at this time but this may be needed in the future as flexibility continues to develop.</w:t>
            </w:r>
          </w:p>
        </w:tc>
        <w:tc>
          <w:tcPr>
            <w:tcW w:w="3752" w:type="dxa"/>
            <w:shd w:val="clear" w:color="auto" w:fill="E2EFD9" w:themeFill="accent6" w:themeFillTint="33"/>
          </w:tcPr>
          <w:p w14:paraId="7AA998D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8E4012C" w14:textId="77777777" w:rsidTr="00576563">
        <w:tc>
          <w:tcPr>
            <w:tcW w:w="1730" w:type="dxa"/>
          </w:tcPr>
          <w:p w14:paraId="4DEB07B8" w14:textId="720FF7C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4C940C1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69FA311" w14:textId="3F1A9492"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Where available, this will better reflect the market for the services that would otherwise be used to avoid the curtailment. Keeping this closer link will better meet Ofgem’s objectives of not distorting markets.</w:t>
            </w:r>
          </w:p>
        </w:tc>
        <w:tc>
          <w:tcPr>
            <w:tcW w:w="3752" w:type="dxa"/>
            <w:shd w:val="clear" w:color="auto" w:fill="E2EFD9" w:themeFill="accent6" w:themeFillTint="33"/>
          </w:tcPr>
          <w:p w14:paraId="153FBA8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A281CE1" w14:textId="77777777" w:rsidTr="00576563">
        <w:tc>
          <w:tcPr>
            <w:tcW w:w="1730" w:type="dxa"/>
          </w:tcPr>
          <w:p w14:paraId="28B97E18" w14:textId="69A108F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6F271A6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A2E0B9C" w14:textId="5C2684B2" w:rsidR="004000B8" w:rsidRPr="00332B53" w:rsidRDefault="00E6467F" w:rsidP="00E6467F">
            <w:pPr>
              <w:rPr>
                <w:rFonts w:asciiTheme="minorHAnsi" w:hAnsiTheme="minorHAnsi" w:cstheme="minorHAnsi"/>
                <w:bCs/>
                <w:sz w:val="22"/>
                <w:szCs w:val="22"/>
              </w:rPr>
            </w:pPr>
            <w:r w:rsidRPr="00332B53">
              <w:rPr>
                <w:rFonts w:asciiTheme="minorHAnsi" w:hAnsiTheme="minorHAnsi" w:cstheme="minorHAnsi"/>
                <w:bCs/>
                <w:sz w:val="22"/>
                <w:szCs w:val="22"/>
              </w:rPr>
              <w:t>We believe the price should be set as the same for both import and export. However, dependant on future flexibility services expanding, this may need to be reviewed into if the case arises that the cost of flexibility for import varies compared to the cost of export flexibility.</w:t>
            </w:r>
          </w:p>
        </w:tc>
        <w:tc>
          <w:tcPr>
            <w:tcW w:w="3752" w:type="dxa"/>
            <w:shd w:val="clear" w:color="auto" w:fill="E2EFD9" w:themeFill="accent6" w:themeFillTint="33"/>
          </w:tcPr>
          <w:p w14:paraId="6380401A"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561A84D6" w14:textId="77777777" w:rsidTr="00576563">
        <w:tc>
          <w:tcPr>
            <w:tcW w:w="14081" w:type="dxa"/>
            <w:gridSpan w:val="4"/>
            <w:shd w:val="clear" w:color="auto" w:fill="E2EFD9" w:themeFill="accent6" w:themeFillTint="33"/>
          </w:tcPr>
          <w:p w14:paraId="66BC050C"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6E03C86" w14:textId="1DF065FD" w:rsidR="003B4D24" w:rsidRDefault="003B4D24">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1C12C3" w:rsidRPr="007A0F4A" w14:paraId="28FB9D0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B8C6A8D" w14:textId="77777777" w:rsidR="001C12C3" w:rsidRPr="007A0F4A" w:rsidRDefault="001C12C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4E0926B" w14:textId="77777777" w:rsidR="001C12C3" w:rsidRPr="007A0F4A" w:rsidRDefault="001C12C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65DDBA1" w14:textId="77777777" w:rsidR="001C12C3" w:rsidRPr="007A0F4A" w:rsidRDefault="001C12C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9BF7146" w14:textId="5858CA79" w:rsidR="001C12C3" w:rsidRPr="007A0F4A" w:rsidRDefault="001578E9">
            <w:pPr>
              <w:pStyle w:val="BodyTextNoSpacing"/>
              <w:numPr>
                <w:ilvl w:val="0"/>
                <w:numId w:val="3"/>
              </w:numPr>
              <w:rPr>
                <w:rFonts w:asciiTheme="minorHAnsi" w:hAnsiTheme="minorHAnsi" w:cstheme="minorHAnsi"/>
                <w:bCs/>
                <w:sz w:val="22"/>
                <w:szCs w:val="22"/>
              </w:rPr>
            </w:pPr>
            <w:r w:rsidRPr="001578E9">
              <w:t>Should the choice of a separate Exceeded Curtailment Price be at the discretion of the DNO/IDNO Party?</w:t>
            </w:r>
          </w:p>
        </w:tc>
        <w:tc>
          <w:tcPr>
            <w:tcW w:w="3752" w:type="dxa"/>
            <w:shd w:val="clear" w:color="auto" w:fill="E2EFD9" w:themeFill="accent6" w:themeFillTint="33"/>
          </w:tcPr>
          <w:p w14:paraId="406976B4" w14:textId="77777777" w:rsidR="001C12C3" w:rsidRPr="007A0F4A" w:rsidRDefault="001C12C3"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7A0F4A" w14:paraId="5566A636" w14:textId="77777777" w:rsidTr="00576563">
        <w:tc>
          <w:tcPr>
            <w:tcW w:w="1730" w:type="dxa"/>
          </w:tcPr>
          <w:p w14:paraId="357BA604" w14:textId="5E034DEA"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39CBFDE"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F798E61" w14:textId="29114277"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but we do not believe that the legal text allows for this at the moment as the IDNO is bound to using the exceeded curtailment price in the DSA in which the customer is connecting.</w:t>
            </w:r>
          </w:p>
        </w:tc>
        <w:tc>
          <w:tcPr>
            <w:tcW w:w="3752" w:type="dxa"/>
            <w:shd w:val="clear" w:color="auto" w:fill="E2EFD9" w:themeFill="accent6" w:themeFillTint="33"/>
          </w:tcPr>
          <w:p w14:paraId="4557D3D7" w14:textId="77777777" w:rsidR="00895CE0" w:rsidRPr="003233BA" w:rsidRDefault="00895CE0" w:rsidP="00576563">
            <w:pPr>
              <w:pStyle w:val="BodyText"/>
              <w:rPr>
                <w:rFonts w:cstheme="minorHAnsi"/>
                <w:bCs/>
              </w:rPr>
            </w:pPr>
          </w:p>
        </w:tc>
      </w:tr>
      <w:tr w:rsidR="004000B8" w:rsidRPr="007A0F4A" w14:paraId="19CC6DE8" w14:textId="77777777" w:rsidTr="00576563">
        <w:tc>
          <w:tcPr>
            <w:tcW w:w="1730" w:type="dxa"/>
          </w:tcPr>
          <w:p w14:paraId="146F6F67" w14:textId="526A55E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12118C6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42FD11" w14:textId="1DA53BE6"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consistency across each DNO/IDNO Party is important to us as a market participant.</w:t>
            </w:r>
          </w:p>
        </w:tc>
        <w:tc>
          <w:tcPr>
            <w:tcW w:w="3752" w:type="dxa"/>
            <w:shd w:val="clear" w:color="auto" w:fill="E2EFD9" w:themeFill="accent6" w:themeFillTint="33"/>
          </w:tcPr>
          <w:p w14:paraId="12F345E0" w14:textId="77777777" w:rsidR="004000B8" w:rsidRPr="003233BA" w:rsidRDefault="004000B8" w:rsidP="004000B8">
            <w:pPr>
              <w:pStyle w:val="BodyText"/>
              <w:rPr>
                <w:rFonts w:cstheme="minorHAnsi"/>
                <w:bCs/>
              </w:rPr>
            </w:pPr>
          </w:p>
        </w:tc>
      </w:tr>
      <w:tr w:rsidR="004000B8" w:rsidRPr="007A0F4A" w14:paraId="0300578F" w14:textId="77777777" w:rsidTr="00576563">
        <w:tc>
          <w:tcPr>
            <w:tcW w:w="1730" w:type="dxa"/>
          </w:tcPr>
          <w:p w14:paraId="3A108072" w14:textId="546FA45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61C6C2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B6F0797" w14:textId="1C337E08"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impact of introducing two prices would be to make one lower than the other which could benefit DNOs and their customers, however as these payments are unlikely to be made it ought to be at the discretion of the DNO whether to incur the additional effort in producing two prices.</w:t>
            </w:r>
          </w:p>
        </w:tc>
        <w:tc>
          <w:tcPr>
            <w:tcW w:w="3752" w:type="dxa"/>
            <w:shd w:val="clear" w:color="auto" w:fill="E2EFD9" w:themeFill="accent6" w:themeFillTint="33"/>
          </w:tcPr>
          <w:p w14:paraId="5D82EE64" w14:textId="77777777" w:rsidR="004000B8" w:rsidRPr="003233BA" w:rsidRDefault="004000B8" w:rsidP="004000B8">
            <w:pPr>
              <w:pStyle w:val="BodyText"/>
              <w:rPr>
                <w:rFonts w:cstheme="minorHAnsi"/>
                <w:bCs/>
              </w:rPr>
            </w:pPr>
          </w:p>
        </w:tc>
      </w:tr>
      <w:tr w:rsidR="004000B8" w:rsidRPr="007A0F4A" w14:paraId="0D358ED3" w14:textId="77777777" w:rsidTr="00576563">
        <w:tc>
          <w:tcPr>
            <w:tcW w:w="1730" w:type="dxa"/>
          </w:tcPr>
          <w:p w14:paraId="6B7F11AC" w14:textId="59FF7FE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4D5F63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F54344A" w14:textId="3ADFE5E2"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different approaches for network operators would lead to a less level playing field and result in different treatment of customer classes based on geographical location.</w:t>
            </w:r>
          </w:p>
        </w:tc>
        <w:tc>
          <w:tcPr>
            <w:tcW w:w="3752" w:type="dxa"/>
            <w:shd w:val="clear" w:color="auto" w:fill="E2EFD9" w:themeFill="accent6" w:themeFillTint="33"/>
          </w:tcPr>
          <w:p w14:paraId="7C66C236" w14:textId="77777777" w:rsidR="004000B8" w:rsidRPr="003233BA" w:rsidRDefault="004000B8" w:rsidP="004000B8">
            <w:pPr>
              <w:pStyle w:val="BodyText"/>
              <w:rPr>
                <w:rFonts w:cstheme="minorHAnsi"/>
                <w:bCs/>
              </w:rPr>
            </w:pPr>
          </w:p>
        </w:tc>
      </w:tr>
      <w:tr w:rsidR="004000B8" w:rsidRPr="007A0F4A" w14:paraId="5C348EDE" w14:textId="77777777" w:rsidTr="00576563">
        <w:tc>
          <w:tcPr>
            <w:tcW w:w="1730" w:type="dxa"/>
          </w:tcPr>
          <w:p w14:paraId="442769C9" w14:textId="39D9CD6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530" w:type="dxa"/>
          </w:tcPr>
          <w:p w14:paraId="37121D1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F393E3" w14:textId="5772A34F" w:rsidR="004000B8" w:rsidRPr="00332B53" w:rsidRDefault="001A138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different approaches for network operators would not lead to a level playing field and would result in different treatment of customer classes based on geographical location.</w:t>
            </w:r>
          </w:p>
        </w:tc>
        <w:tc>
          <w:tcPr>
            <w:tcW w:w="3752" w:type="dxa"/>
            <w:shd w:val="clear" w:color="auto" w:fill="E2EFD9" w:themeFill="accent6" w:themeFillTint="33"/>
          </w:tcPr>
          <w:p w14:paraId="377D47B4" w14:textId="77777777" w:rsidR="004000B8" w:rsidRPr="003233BA" w:rsidRDefault="004000B8" w:rsidP="004000B8">
            <w:pPr>
              <w:pStyle w:val="BodyText"/>
              <w:rPr>
                <w:rFonts w:cstheme="minorHAnsi"/>
                <w:bCs/>
              </w:rPr>
            </w:pPr>
          </w:p>
        </w:tc>
      </w:tr>
      <w:tr w:rsidR="004000B8" w:rsidRPr="007A0F4A" w14:paraId="2FF9E55B" w14:textId="77777777" w:rsidTr="00576563">
        <w:tc>
          <w:tcPr>
            <w:tcW w:w="1730" w:type="dxa"/>
          </w:tcPr>
          <w:p w14:paraId="47F4C307" w14:textId="73A8D8A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13EAAE2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D28A487" w14:textId="67C9757C" w:rsidR="004000B8" w:rsidRPr="00332B53" w:rsidRDefault="00017234" w:rsidP="00017234">
            <w:pPr>
              <w:rPr>
                <w:rFonts w:asciiTheme="minorHAnsi" w:hAnsiTheme="minorHAnsi" w:cstheme="minorHAnsi"/>
                <w:bCs/>
                <w:sz w:val="22"/>
                <w:szCs w:val="22"/>
              </w:rPr>
            </w:pPr>
            <w:r w:rsidRPr="00332B53">
              <w:rPr>
                <w:rFonts w:asciiTheme="minorHAnsi" w:hAnsiTheme="minorHAnsi" w:cstheme="minorHAnsi"/>
                <w:bCs/>
                <w:sz w:val="22"/>
                <w:szCs w:val="22"/>
              </w:rPr>
              <w:t>See answer to question 21.</w:t>
            </w:r>
          </w:p>
        </w:tc>
        <w:tc>
          <w:tcPr>
            <w:tcW w:w="3752" w:type="dxa"/>
            <w:shd w:val="clear" w:color="auto" w:fill="E2EFD9" w:themeFill="accent6" w:themeFillTint="33"/>
          </w:tcPr>
          <w:p w14:paraId="0B3CA105" w14:textId="77777777" w:rsidR="004000B8" w:rsidRPr="003233BA" w:rsidRDefault="004000B8" w:rsidP="004000B8">
            <w:pPr>
              <w:pStyle w:val="BodyText"/>
              <w:rPr>
                <w:rFonts w:cstheme="minorHAnsi"/>
                <w:bCs/>
              </w:rPr>
            </w:pPr>
          </w:p>
        </w:tc>
      </w:tr>
      <w:tr w:rsidR="004000B8" w:rsidRPr="007A0F4A" w14:paraId="44284F07" w14:textId="77777777" w:rsidTr="00576563">
        <w:tc>
          <w:tcPr>
            <w:tcW w:w="1730" w:type="dxa"/>
          </w:tcPr>
          <w:p w14:paraId="4CC00D5B" w14:textId="2F8B82E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ECD49D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49627D4" w14:textId="69951541"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think it is appropriate to give DNOs/IDNOs the power to determine whether a separate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Exceeded Curtailment Price is used or not for exceeded import or export. Whatever is determined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be most appropriate regarding whether the price for import or export should vary should be common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across all DNOs.</w:t>
            </w:r>
          </w:p>
        </w:tc>
        <w:tc>
          <w:tcPr>
            <w:tcW w:w="3752" w:type="dxa"/>
            <w:shd w:val="clear" w:color="auto" w:fill="E2EFD9" w:themeFill="accent6" w:themeFillTint="33"/>
          </w:tcPr>
          <w:p w14:paraId="2F82B361" w14:textId="77777777" w:rsidR="004000B8" w:rsidRPr="003233BA" w:rsidRDefault="004000B8" w:rsidP="004000B8">
            <w:pPr>
              <w:pStyle w:val="BodyText"/>
              <w:rPr>
                <w:rFonts w:cstheme="minorHAnsi"/>
                <w:bCs/>
              </w:rPr>
            </w:pPr>
          </w:p>
        </w:tc>
      </w:tr>
      <w:tr w:rsidR="004000B8" w:rsidRPr="007A0F4A" w14:paraId="012D6461" w14:textId="77777777" w:rsidTr="00576563">
        <w:tc>
          <w:tcPr>
            <w:tcW w:w="1730" w:type="dxa"/>
          </w:tcPr>
          <w:p w14:paraId="79C490D2" w14:textId="1629159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4F4BE4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356D1C" w14:textId="06FB156D"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A consistent (i.e. same approach) across all DNO’s should be adopted. This would be consistent with the 4 Access SCR proposals where consistency is a key theme.</w:t>
            </w:r>
          </w:p>
        </w:tc>
        <w:tc>
          <w:tcPr>
            <w:tcW w:w="3752" w:type="dxa"/>
            <w:shd w:val="clear" w:color="auto" w:fill="E2EFD9" w:themeFill="accent6" w:themeFillTint="33"/>
          </w:tcPr>
          <w:p w14:paraId="68A79C8B" w14:textId="77777777" w:rsidR="004000B8" w:rsidRPr="003233BA" w:rsidRDefault="004000B8" w:rsidP="004000B8">
            <w:pPr>
              <w:pStyle w:val="BodyText"/>
              <w:rPr>
                <w:rFonts w:cstheme="minorHAnsi"/>
                <w:bCs/>
              </w:rPr>
            </w:pPr>
          </w:p>
        </w:tc>
      </w:tr>
      <w:tr w:rsidR="004000B8" w:rsidRPr="007A0F4A" w14:paraId="39C5CBE3" w14:textId="77777777" w:rsidTr="00576563">
        <w:tc>
          <w:tcPr>
            <w:tcW w:w="1730" w:type="dxa"/>
          </w:tcPr>
          <w:p w14:paraId="57C2D906" w14:textId="3955540E"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690C94B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2B23302" w14:textId="0D18A705"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I understand why some DNOs may prefer one option over the other, but they should be required </w:t>
            </w:r>
            <w:proofErr w:type="spellStart"/>
            <w:r w:rsidRPr="00332B53">
              <w:rPr>
                <w:rFonts w:asciiTheme="minorHAnsi" w:hAnsiTheme="minorHAnsi" w:cstheme="minorHAnsi"/>
                <w:bCs/>
                <w:sz w:val="22"/>
                <w:szCs w:val="22"/>
                <w:lang w:val="en-GB"/>
              </w:rPr>
              <w:t>o</w:t>
            </w:r>
            <w:proofErr w:type="spellEnd"/>
            <w:r w:rsidRPr="00332B53">
              <w:rPr>
                <w:rFonts w:asciiTheme="minorHAnsi" w:hAnsiTheme="minorHAnsi" w:cstheme="minorHAnsi"/>
                <w:bCs/>
                <w:sz w:val="22"/>
                <w:szCs w:val="22"/>
                <w:lang w:val="en-GB"/>
              </w:rPr>
              <w:t xml:space="preserve"> justify that decision to the Authority and industry, rather than solely at their own discretion. A public statement that can be discussed and challenged would be suitable.</w:t>
            </w:r>
          </w:p>
        </w:tc>
        <w:tc>
          <w:tcPr>
            <w:tcW w:w="3752" w:type="dxa"/>
            <w:shd w:val="clear" w:color="auto" w:fill="E2EFD9" w:themeFill="accent6" w:themeFillTint="33"/>
          </w:tcPr>
          <w:p w14:paraId="295B973D" w14:textId="77777777" w:rsidR="004000B8" w:rsidRPr="003233BA" w:rsidRDefault="004000B8" w:rsidP="004000B8">
            <w:pPr>
              <w:pStyle w:val="BodyText"/>
              <w:rPr>
                <w:rFonts w:asciiTheme="minorHAnsi" w:hAnsiTheme="minorHAnsi" w:cstheme="minorHAnsi"/>
                <w:bCs/>
                <w:sz w:val="22"/>
                <w:szCs w:val="22"/>
                <w:lang w:val="en-GB"/>
              </w:rPr>
            </w:pPr>
          </w:p>
        </w:tc>
      </w:tr>
      <w:tr w:rsidR="004000B8" w:rsidRPr="007A0F4A" w14:paraId="52F09DE2" w14:textId="77777777" w:rsidTr="00576563">
        <w:tc>
          <w:tcPr>
            <w:tcW w:w="1730" w:type="dxa"/>
          </w:tcPr>
          <w:p w14:paraId="1E6D92A0" w14:textId="19865DD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6C9EC80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26BE44C" w14:textId="4F4C0945"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it should be consistent and clear in the legal text.</w:t>
            </w:r>
          </w:p>
        </w:tc>
        <w:tc>
          <w:tcPr>
            <w:tcW w:w="3752" w:type="dxa"/>
            <w:shd w:val="clear" w:color="auto" w:fill="E2EFD9" w:themeFill="accent6" w:themeFillTint="33"/>
          </w:tcPr>
          <w:p w14:paraId="2021FCEC" w14:textId="77777777" w:rsidR="004000B8" w:rsidRPr="003233BA" w:rsidRDefault="004000B8" w:rsidP="004000B8">
            <w:pPr>
              <w:pStyle w:val="BodyText"/>
              <w:rPr>
                <w:rFonts w:cstheme="minorHAnsi"/>
                <w:bCs/>
              </w:rPr>
            </w:pPr>
          </w:p>
        </w:tc>
      </w:tr>
      <w:tr w:rsidR="004000B8" w:rsidRPr="007A0F4A" w14:paraId="454B3197" w14:textId="77777777" w:rsidTr="00576563">
        <w:tc>
          <w:tcPr>
            <w:tcW w:w="1730" w:type="dxa"/>
          </w:tcPr>
          <w:p w14:paraId="7E5C269A" w14:textId="52CA3F1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041EAC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BD82EC0" w14:textId="0C80475D"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acknowledge that there are cases (e.g. in terms of data availability) where a distributor may consider a single price more appropriate. However, the reasons for applying a single price instead of separate import and export prices should be codified to ensure a standardised, non-arbitrary approach </w:t>
            </w:r>
            <w:r w:rsidRPr="00332B53">
              <w:rPr>
                <w:rFonts w:asciiTheme="minorHAnsi" w:hAnsiTheme="minorHAnsi" w:cstheme="minorHAnsi"/>
                <w:bCs/>
                <w:sz w:val="22"/>
                <w:szCs w:val="22"/>
              </w:rPr>
              <w:lastRenderedPageBreak/>
              <w:t>across all distributors. For the avoidance of doubt, and in accordance with the work (see Question 33 below) of the Energy Data Taskforce it is important to codify that where a single price is used that this is published by the DNO so that all stakeholders have sight of it. Therefore, we propose that the template at Appendix A of the draft legal text is amended to include fields where distributors set out a single price for a product if relevant, together with their reasoning for using a single price. We consider that this may be an early-market issue which may disappear as more data becomes available.</w:t>
            </w:r>
          </w:p>
        </w:tc>
        <w:tc>
          <w:tcPr>
            <w:tcW w:w="3752" w:type="dxa"/>
            <w:shd w:val="clear" w:color="auto" w:fill="E2EFD9" w:themeFill="accent6" w:themeFillTint="33"/>
          </w:tcPr>
          <w:p w14:paraId="5F867BE0" w14:textId="77777777" w:rsidR="004000B8" w:rsidRPr="003233BA" w:rsidRDefault="004000B8" w:rsidP="004000B8">
            <w:pPr>
              <w:pStyle w:val="BodyText"/>
              <w:rPr>
                <w:rFonts w:cstheme="minorHAnsi"/>
                <w:bCs/>
              </w:rPr>
            </w:pPr>
          </w:p>
        </w:tc>
      </w:tr>
      <w:tr w:rsidR="004000B8" w:rsidRPr="007A0F4A" w14:paraId="08A3DB4C" w14:textId="77777777" w:rsidTr="00576563">
        <w:tc>
          <w:tcPr>
            <w:tcW w:w="1730" w:type="dxa"/>
          </w:tcPr>
          <w:p w14:paraId="478A4C85" w14:textId="33E3549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1FA65C5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3231A7" w14:textId="4422F4F9"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must be reflective of the local circumstance at that time.</w:t>
            </w:r>
          </w:p>
        </w:tc>
        <w:tc>
          <w:tcPr>
            <w:tcW w:w="3752" w:type="dxa"/>
            <w:shd w:val="clear" w:color="auto" w:fill="E2EFD9" w:themeFill="accent6" w:themeFillTint="33"/>
          </w:tcPr>
          <w:p w14:paraId="3CA7B3A7" w14:textId="77777777" w:rsidR="004000B8" w:rsidRPr="003233BA" w:rsidRDefault="004000B8" w:rsidP="004000B8">
            <w:pPr>
              <w:pStyle w:val="BodyText"/>
              <w:rPr>
                <w:rFonts w:cstheme="minorHAnsi"/>
                <w:bCs/>
              </w:rPr>
            </w:pPr>
          </w:p>
        </w:tc>
      </w:tr>
      <w:tr w:rsidR="004000B8" w:rsidRPr="007A0F4A" w14:paraId="567E6772" w14:textId="77777777" w:rsidTr="00576563">
        <w:tc>
          <w:tcPr>
            <w:tcW w:w="1730" w:type="dxa"/>
          </w:tcPr>
          <w:p w14:paraId="1D4F2987" w14:textId="3330C24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00F8F39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9A5AFA2" w14:textId="334117CF"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It should not be at the discretion of the DNO/IDNO, if there is a separate price it should be used.</w:t>
            </w:r>
          </w:p>
        </w:tc>
        <w:tc>
          <w:tcPr>
            <w:tcW w:w="3752" w:type="dxa"/>
            <w:shd w:val="clear" w:color="auto" w:fill="E2EFD9" w:themeFill="accent6" w:themeFillTint="33"/>
          </w:tcPr>
          <w:p w14:paraId="144FDA82" w14:textId="77777777" w:rsidR="004000B8" w:rsidRPr="003233BA" w:rsidRDefault="004000B8" w:rsidP="004000B8">
            <w:pPr>
              <w:pStyle w:val="BodyText"/>
              <w:rPr>
                <w:rFonts w:cstheme="minorHAnsi"/>
                <w:bCs/>
              </w:rPr>
            </w:pPr>
          </w:p>
        </w:tc>
      </w:tr>
      <w:tr w:rsidR="004000B8" w:rsidRPr="007A0F4A" w14:paraId="2E5714BB" w14:textId="77777777" w:rsidTr="00576563">
        <w:tc>
          <w:tcPr>
            <w:tcW w:w="1730" w:type="dxa"/>
          </w:tcPr>
          <w:p w14:paraId="4AF96CCB" w14:textId="709AEC9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5DCF7C1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BD9529A" w14:textId="301F25AC"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having the option for outliers should be available to the DNO/iDNO.</w:t>
            </w:r>
          </w:p>
        </w:tc>
        <w:tc>
          <w:tcPr>
            <w:tcW w:w="3752" w:type="dxa"/>
            <w:shd w:val="clear" w:color="auto" w:fill="E2EFD9" w:themeFill="accent6" w:themeFillTint="33"/>
          </w:tcPr>
          <w:p w14:paraId="5B42D7A1" w14:textId="77777777" w:rsidR="004000B8" w:rsidRPr="003233BA" w:rsidRDefault="004000B8" w:rsidP="004000B8">
            <w:pPr>
              <w:pStyle w:val="BodyText"/>
              <w:rPr>
                <w:rFonts w:cstheme="minorHAnsi"/>
                <w:bCs/>
              </w:rPr>
            </w:pPr>
          </w:p>
        </w:tc>
      </w:tr>
      <w:tr w:rsidR="004000B8" w:rsidRPr="007A0F4A" w14:paraId="483E8B02" w14:textId="77777777" w:rsidTr="00576563">
        <w:tc>
          <w:tcPr>
            <w:tcW w:w="14081" w:type="dxa"/>
            <w:gridSpan w:val="4"/>
            <w:shd w:val="clear" w:color="auto" w:fill="E2EFD9" w:themeFill="accent6" w:themeFillTint="33"/>
          </w:tcPr>
          <w:p w14:paraId="742B9D4D"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2A856BFC" w14:textId="4CFFBD7B" w:rsidR="001C12C3" w:rsidRDefault="001C12C3">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1578E9" w:rsidRPr="007A0F4A" w14:paraId="6F45F247"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1F8228A" w14:textId="77777777" w:rsidR="001578E9" w:rsidRPr="007A0F4A" w:rsidRDefault="001578E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751E2E0" w14:textId="77777777" w:rsidR="001578E9" w:rsidRPr="007A0F4A" w:rsidRDefault="001578E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B795D93" w14:textId="77777777" w:rsidR="001578E9" w:rsidRPr="007A0F4A" w:rsidRDefault="001578E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A07C511" w14:textId="2D22C866" w:rsidR="001578E9" w:rsidRPr="007A0F4A" w:rsidRDefault="009548DA">
            <w:pPr>
              <w:pStyle w:val="BodyTextNoSpacing"/>
              <w:numPr>
                <w:ilvl w:val="0"/>
                <w:numId w:val="3"/>
              </w:numPr>
              <w:rPr>
                <w:rFonts w:asciiTheme="minorHAnsi" w:hAnsiTheme="minorHAnsi" w:cstheme="minorHAnsi"/>
                <w:bCs/>
                <w:sz w:val="22"/>
                <w:szCs w:val="22"/>
              </w:rPr>
            </w:pPr>
            <w:r w:rsidRPr="009548DA">
              <w:t>Do you agree the provisions of these Regulations should apply to the Curtailment End Date? If not, please provide reasons why.</w:t>
            </w:r>
          </w:p>
        </w:tc>
        <w:tc>
          <w:tcPr>
            <w:tcW w:w="3752" w:type="dxa"/>
            <w:shd w:val="clear" w:color="auto" w:fill="E2EFD9" w:themeFill="accent6" w:themeFillTint="33"/>
          </w:tcPr>
          <w:p w14:paraId="071FEFFA" w14:textId="77777777" w:rsidR="001578E9" w:rsidRPr="007A0F4A" w:rsidRDefault="001578E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6AE0D06D" w14:textId="77777777" w:rsidTr="00576563">
        <w:tc>
          <w:tcPr>
            <w:tcW w:w="1730" w:type="dxa"/>
          </w:tcPr>
          <w:p w14:paraId="34961144" w14:textId="4DA8E4E6"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7C21287A"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1F1ADB2A" w14:textId="4CFCA5D5"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Yes they should apply to the end dates</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6456A40F"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674A4376" w14:textId="77777777" w:rsidTr="00576563">
        <w:tc>
          <w:tcPr>
            <w:tcW w:w="1730" w:type="dxa"/>
          </w:tcPr>
          <w:p w14:paraId="58EC1024" w14:textId="41D075A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EDF</w:t>
            </w:r>
          </w:p>
        </w:tc>
        <w:tc>
          <w:tcPr>
            <w:tcW w:w="1530" w:type="dxa"/>
          </w:tcPr>
          <w:p w14:paraId="733410D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F77DBAF" w14:textId="7CF65BBA"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433838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2715767" w14:textId="77777777" w:rsidTr="00576563">
        <w:tc>
          <w:tcPr>
            <w:tcW w:w="1730" w:type="dxa"/>
          </w:tcPr>
          <w:p w14:paraId="254F4945" w14:textId="753E91D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6DBAA39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C23F683" w14:textId="16EAB8C3"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that Curtailment End-Dates should be able to be moved following the provisions set out in the Regulations. The Curtailment End Date is the date when reinforcement works would be completed and would therefore have been the Energisation date had the customer not requested a Curtailable Connection which would have been subject to the Regulations.</w:t>
            </w:r>
          </w:p>
        </w:tc>
        <w:tc>
          <w:tcPr>
            <w:tcW w:w="3752" w:type="dxa"/>
            <w:shd w:val="clear" w:color="auto" w:fill="E2EFD9" w:themeFill="accent6" w:themeFillTint="33"/>
          </w:tcPr>
          <w:p w14:paraId="7AB4BAD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0D2433D" w14:textId="77777777" w:rsidTr="00576563">
        <w:tc>
          <w:tcPr>
            <w:tcW w:w="1730" w:type="dxa"/>
          </w:tcPr>
          <w:p w14:paraId="0D244050" w14:textId="7C6D967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42C3F25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234ACB3" w14:textId="1A691AA8"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provision is necessary to capture the instances in which the end date could be moved.</w:t>
            </w:r>
          </w:p>
        </w:tc>
        <w:tc>
          <w:tcPr>
            <w:tcW w:w="3752" w:type="dxa"/>
            <w:shd w:val="clear" w:color="auto" w:fill="E2EFD9" w:themeFill="accent6" w:themeFillTint="33"/>
          </w:tcPr>
          <w:p w14:paraId="69D2389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37193BA" w14:textId="77777777" w:rsidTr="00576563">
        <w:tc>
          <w:tcPr>
            <w:tcW w:w="1730" w:type="dxa"/>
          </w:tcPr>
          <w:p w14:paraId="4DB018F6" w14:textId="1332E18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77BA7C8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848BEE8" w14:textId="5D645939" w:rsidR="004000B8" w:rsidRPr="00332B53" w:rsidRDefault="00A964B9"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provision is necessary to capture the instances in which the end date could be moved.</w:t>
            </w:r>
          </w:p>
        </w:tc>
        <w:tc>
          <w:tcPr>
            <w:tcW w:w="3752" w:type="dxa"/>
            <w:shd w:val="clear" w:color="auto" w:fill="E2EFD9" w:themeFill="accent6" w:themeFillTint="33"/>
          </w:tcPr>
          <w:p w14:paraId="29D09F0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CF31C4F" w14:textId="77777777" w:rsidTr="00576563">
        <w:tc>
          <w:tcPr>
            <w:tcW w:w="1730" w:type="dxa"/>
          </w:tcPr>
          <w:p w14:paraId="1810A724" w14:textId="2201A5D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1E8DAC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D1E082A" w14:textId="616DE1FA"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We have proposed revised wording based upon the ‘extensions of time’ provision in the Electricity (Connection Standards of Performance) Regulations 2015. This can be found in the marked-up legal text appended to this response.</w:t>
            </w:r>
          </w:p>
        </w:tc>
        <w:tc>
          <w:tcPr>
            <w:tcW w:w="3752" w:type="dxa"/>
            <w:shd w:val="clear" w:color="auto" w:fill="E2EFD9" w:themeFill="accent6" w:themeFillTint="33"/>
          </w:tcPr>
          <w:p w14:paraId="342C277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58134CB" w14:textId="77777777" w:rsidTr="00576563">
        <w:tc>
          <w:tcPr>
            <w:tcW w:w="1730" w:type="dxa"/>
          </w:tcPr>
          <w:p w14:paraId="305357BF" w14:textId="3445229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085A15B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3004429" w14:textId="593A3233"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that it is appropriate to apply provisions which allow for dates of energisation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be moved for Non-Curtailable Connections to Curtailable Connections. Simply delaying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energisation for a new connection should not drastically change the profitability of a project,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however, extending the period by which a generator has a curtailable connection does impact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profitability over the asset’s lifetime. To ensure DNOs stick with original Curtailment End Dates as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much as possible, we believe there should be defined limit or additional payments to customers that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DNOs must make if they have to extend Curtailment Dates due to their </w:t>
            </w:r>
            <w:r w:rsidRPr="00332B53">
              <w:rPr>
                <w:rFonts w:asciiTheme="minorHAnsi" w:hAnsiTheme="minorHAnsi" w:cstheme="minorHAnsi"/>
                <w:bCs/>
                <w:sz w:val="22"/>
                <w:szCs w:val="22"/>
              </w:rPr>
              <w:lastRenderedPageBreak/>
              <w:t>inability to upgrade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network in time or procure flexibility services to unlock capacity. From what we can gather at present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any negotiations would be done in good faith, meaning there are no explicit penalties or money that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DNOs would be obliged to pay customers if they have to delay the Curtailment End Date. Many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customers’ business cases will be predicated on the Curtailment End Date in their connection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agreement and therefore any delays to this could impact project profitability. As a result, we do not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believe it is reasonable to simply extend the Regulations for Non-Curtailable connections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Curtailable connections unless there is a mechanism by which DNOs must compensate customers for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the loss in revenue due to the extension of the curtailment agreement.</w:t>
            </w:r>
          </w:p>
        </w:tc>
        <w:tc>
          <w:tcPr>
            <w:tcW w:w="3752" w:type="dxa"/>
            <w:shd w:val="clear" w:color="auto" w:fill="E2EFD9" w:themeFill="accent6" w:themeFillTint="33"/>
          </w:tcPr>
          <w:p w14:paraId="3C43863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0710AD5" w14:textId="77777777" w:rsidTr="00576563">
        <w:tc>
          <w:tcPr>
            <w:tcW w:w="1730" w:type="dxa"/>
          </w:tcPr>
          <w:p w14:paraId="1879EFA2" w14:textId="5B4CFF1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18EAD7E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4692EF5" w14:textId="76A688D3"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23B1A6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D672952" w14:textId="77777777" w:rsidTr="00576563">
        <w:tc>
          <w:tcPr>
            <w:tcW w:w="1730" w:type="dxa"/>
          </w:tcPr>
          <w:p w14:paraId="696C914A" w14:textId="38AB14BF"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50EBBB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1436027" w14:textId="3B756503"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0CC6C65"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5CB68EF4" w14:textId="77777777" w:rsidTr="00576563">
        <w:tc>
          <w:tcPr>
            <w:tcW w:w="1730" w:type="dxa"/>
          </w:tcPr>
          <w:p w14:paraId="12FF53FE" w14:textId="1647C5D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6845F5B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EEF468A" w14:textId="31DC6D7B"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these Regulations should apply.</w:t>
            </w:r>
          </w:p>
        </w:tc>
        <w:tc>
          <w:tcPr>
            <w:tcW w:w="3752" w:type="dxa"/>
            <w:shd w:val="clear" w:color="auto" w:fill="E2EFD9" w:themeFill="accent6" w:themeFillTint="33"/>
          </w:tcPr>
          <w:p w14:paraId="1C7201A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0E09983" w14:textId="77777777" w:rsidTr="00576563">
        <w:tc>
          <w:tcPr>
            <w:tcW w:w="1730" w:type="dxa"/>
          </w:tcPr>
          <w:p w14:paraId="38AA3EFD" w14:textId="5A7DBCD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63F42D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3F4A851" w14:textId="5ABAF24D"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have a concern similar to the one we have raised under q.2 above, about whether the proposed use of the term ‘Customer’, as defined in The Electricity (Connection Standards of Performance) Regulations 2015, covers both of Ofgem’s intended target groups, namely demand and generation connectees. We note that both categories of these users are referred to as ‘Customer’ in the proposed legal text. The 2015 Regulations appear to only apply to demand customers (i.e. someone who is supplied, as per the definition in Part 1, paragraph 2.(1)). We are unsure as to whether this definition expressly includes (or excludes) generators, and we would </w:t>
            </w:r>
            <w:r w:rsidRPr="00332B53">
              <w:rPr>
                <w:rFonts w:asciiTheme="minorHAnsi" w:hAnsiTheme="minorHAnsi" w:cstheme="minorHAnsi"/>
                <w:bCs/>
                <w:sz w:val="22"/>
                <w:szCs w:val="22"/>
              </w:rPr>
              <w:lastRenderedPageBreak/>
              <w:t>appreciate legal clarification being provided on this. If generators are not covered by the 2015 Regulations, we consider that additional provisions will be required in section 7. and Appendix 1 of the draft legal text in the context of a distributor changing the Curtailment End Date.</w:t>
            </w:r>
          </w:p>
        </w:tc>
        <w:tc>
          <w:tcPr>
            <w:tcW w:w="3752" w:type="dxa"/>
            <w:shd w:val="clear" w:color="auto" w:fill="E2EFD9" w:themeFill="accent6" w:themeFillTint="33"/>
          </w:tcPr>
          <w:p w14:paraId="0BEA26D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83CF817" w14:textId="77777777" w:rsidTr="00576563">
        <w:tc>
          <w:tcPr>
            <w:tcW w:w="1730" w:type="dxa"/>
          </w:tcPr>
          <w:p w14:paraId="23AB5A9A" w14:textId="24C382D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7FBF788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F7F7775" w14:textId="718F4959"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Yes - with reference to the Electricity (Connection Standards of Performance) Regulations 2015  </w:t>
            </w:r>
          </w:p>
        </w:tc>
        <w:tc>
          <w:tcPr>
            <w:tcW w:w="3752" w:type="dxa"/>
            <w:shd w:val="clear" w:color="auto" w:fill="E2EFD9" w:themeFill="accent6" w:themeFillTint="33"/>
          </w:tcPr>
          <w:p w14:paraId="0816A82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74847C8" w14:textId="77777777" w:rsidTr="00576563">
        <w:tc>
          <w:tcPr>
            <w:tcW w:w="1730" w:type="dxa"/>
          </w:tcPr>
          <w:p w14:paraId="6C80C4F5" w14:textId="7B7F450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2310E9C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AE58462" w14:textId="5E8CC872"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is the same situation as a connection date being adjusted under current agreements so the same arrangements should apply.</w:t>
            </w:r>
          </w:p>
        </w:tc>
        <w:tc>
          <w:tcPr>
            <w:tcW w:w="3752" w:type="dxa"/>
            <w:shd w:val="clear" w:color="auto" w:fill="E2EFD9" w:themeFill="accent6" w:themeFillTint="33"/>
          </w:tcPr>
          <w:p w14:paraId="32147E9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E2A9C7D" w14:textId="77777777" w:rsidTr="00576563">
        <w:tc>
          <w:tcPr>
            <w:tcW w:w="1730" w:type="dxa"/>
          </w:tcPr>
          <w:p w14:paraId="620CD52A" w14:textId="5C88E07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15A9BA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C131982" w14:textId="4653C528"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the provisions of the regulations ending at the curtailment end date. However, DNO/IDNO’s should be able to amend curtailment end dates in line with current regulations which have Exemptions which allow for a non-curtailed energisation date to be extended.</w:t>
            </w:r>
          </w:p>
        </w:tc>
        <w:tc>
          <w:tcPr>
            <w:tcW w:w="3752" w:type="dxa"/>
            <w:shd w:val="clear" w:color="auto" w:fill="E2EFD9" w:themeFill="accent6" w:themeFillTint="33"/>
          </w:tcPr>
          <w:p w14:paraId="73C66C03"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143E5FDA" w14:textId="77777777" w:rsidTr="00576563">
        <w:tc>
          <w:tcPr>
            <w:tcW w:w="14081" w:type="dxa"/>
            <w:gridSpan w:val="4"/>
            <w:shd w:val="clear" w:color="auto" w:fill="E2EFD9" w:themeFill="accent6" w:themeFillTint="33"/>
          </w:tcPr>
          <w:p w14:paraId="69A90554"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0A14FB44" w14:textId="4D1978E3" w:rsidR="001578E9" w:rsidRDefault="001578E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548DA" w:rsidRPr="007A0F4A" w14:paraId="3E500DF5"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6ACBD5" w14:textId="77777777" w:rsidR="009548DA" w:rsidRPr="007A0F4A" w:rsidRDefault="009548D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C1A8D10" w14:textId="77777777" w:rsidR="009548DA" w:rsidRPr="007A0F4A" w:rsidRDefault="009548D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1A25AC2" w14:textId="77777777" w:rsidR="009548DA" w:rsidRPr="007A0F4A" w:rsidRDefault="009548D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C8083F1" w14:textId="3F9AE1CB" w:rsidR="009548DA" w:rsidRPr="007A0F4A" w:rsidRDefault="009D1280">
            <w:pPr>
              <w:pStyle w:val="BodyTextNoSpacing"/>
              <w:numPr>
                <w:ilvl w:val="0"/>
                <w:numId w:val="3"/>
              </w:numPr>
              <w:rPr>
                <w:rFonts w:asciiTheme="minorHAnsi" w:hAnsiTheme="minorHAnsi" w:cstheme="minorHAnsi"/>
                <w:bCs/>
                <w:sz w:val="22"/>
                <w:szCs w:val="22"/>
              </w:rPr>
            </w:pPr>
            <w:r w:rsidRPr="009D1280">
              <w:t>Should these provisions be repeated in full in the ‘Form of Curtailable Connection Agreement’ which is set out in Appendix B of the proposed new Schedule? Please provide your reasons.</w:t>
            </w:r>
          </w:p>
        </w:tc>
        <w:tc>
          <w:tcPr>
            <w:tcW w:w="3752" w:type="dxa"/>
            <w:shd w:val="clear" w:color="auto" w:fill="E2EFD9" w:themeFill="accent6" w:themeFillTint="33"/>
          </w:tcPr>
          <w:p w14:paraId="095288A0" w14:textId="77777777" w:rsidR="009548DA" w:rsidRPr="007A0F4A" w:rsidRDefault="009548DA"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AA691DE" w14:textId="77777777" w:rsidTr="00576563">
        <w:tc>
          <w:tcPr>
            <w:tcW w:w="1730" w:type="dxa"/>
          </w:tcPr>
          <w:p w14:paraId="2BA6F448" w14:textId="5336C352"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EF64A52"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98DEF4E" w14:textId="0F240374"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We don’t believe they need to be repeated in full but can be referenced</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252229B4"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34851EAE" w14:textId="77777777" w:rsidTr="00576563">
        <w:tc>
          <w:tcPr>
            <w:tcW w:w="1730" w:type="dxa"/>
          </w:tcPr>
          <w:p w14:paraId="60AF2B9D" w14:textId="5762C19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B2912F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1CA0512" w14:textId="57AD94B6"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would be helpful.</w:t>
            </w:r>
          </w:p>
        </w:tc>
        <w:tc>
          <w:tcPr>
            <w:tcW w:w="3752" w:type="dxa"/>
            <w:shd w:val="clear" w:color="auto" w:fill="E2EFD9" w:themeFill="accent6" w:themeFillTint="33"/>
          </w:tcPr>
          <w:p w14:paraId="2E314DDF"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810B143" w14:textId="77777777" w:rsidTr="00576563">
        <w:tc>
          <w:tcPr>
            <w:tcW w:w="1730" w:type="dxa"/>
          </w:tcPr>
          <w:p w14:paraId="264A77CE" w14:textId="02A9CCB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530" w:type="dxa"/>
          </w:tcPr>
          <w:p w14:paraId="11E2E03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7BFA725" w14:textId="3DFAF83B"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this is necessary but will leave to the DCUSA Legal advisors to decide whether this is necessary.</w:t>
            </w:r>
          </w:p>
        </w:tc>
        <w:tc>
          <w:tcPr>
            <w:tcW w:w="3752" w:type="dxa"/>
            <w:shd w:val="clear" w:color="auto" w:fill="E2EFD9" w:themeFill="accent6" w:themeFillTint="33"/>
          </w:tcPr>
          <w:p w14:paraId="1E7C0D2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55095FB" w14:textId="77777777" w:rsidTr="00576563">
        <w:tc>
          <w:tcPr>
            <w:tcW w:w="1730" w:type="dxa"/>
          </w:tcPr>
          <w:p w14:paraId="172B98CB" w14:textId="47207DC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E915C8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9980E33" w14:textId="4E7095E2"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think there are any issues with repeating the provisions in the Form.</w:t>
            </w:r>
          </w:p>
        </w:tc>
        <w:tc>
          <w:tcPr>
            <w:tcW w:w="3752" w:type="dxa"/>
            <w:shd w:val="clear" w:color="auto" w:fill="E2EFD9" w:themeFill="accent6" w:themeFillTint="33"/>
          </w:tcPr>
          <w:p w14:paraId="49657BF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26F1AE0" w14:textId="77777777" w:rsidTr="00576563">
        <w:tc>
          <w:tcPr>
            <w:tcW w:w="1730" w:type="dxa"/>
          </w:tcPr>
          <w:p w14:paraId="026800A4" w14:textId="4485EC3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6AED428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B1F3D85" w14:textId="4BBD256D" w:rsidR="004000B8" w:rsidRPr="00332B53" w:rsidRDefault="00A964B9"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There are minimal issues with repeating the provisions in the Form.</w:t>
            </w:r>
          </w:p>
        </w:tc>
        <w:tc>
          <w:tcPr>
            <w:tcW w:w="3752" w:type="dxa"/>
            <w:shd w:val="clear" w:color="auto" w:fill="E2EFD9" w:themeFill="accent6" w:themeFillTint="33"/>
          </w:tcPr>
          <w:p w14:paraId="6887F28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A209454" w14:textId="77777777" w:rsidTr="00576563">
        <w:tc>
          <w:tcPr>
            <w:tcW w:w="1730" w:type="dxa"/>
          </w:tcPr>
          <w:p w14:paraId="58AD4B29" w14:textId="60C428A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0B293F3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86BA462" w14:textId="36EEF6A4"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the Customer would benefit from having the wording repeated in the connection agreement.</w:t>
            </w:r>
          </w:p>
        </w:tc>
        <w:tc>
          <w:tcPr>
            <w:tcW w:w="3752" w:type="dxa"/>
            <w:shd w:val="clear" w:color="auto" w:fill="E2EFD9" w:themeFill="accent6" w:themeFillTint="33"/>
          </w:tcPr>
          <w:p w14:paraId="648E174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319C8A6" w14:textId="77777777" w:rsidTr="00576563">
        <w:tc>
          <w:tcPr>
            <w:tcW w:w="1730" w:type="dxa"/>
          </w:tcPr>
          <w:p w14:paraId="73F7D4F5" w14:textId="6057DE9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05B1A10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A7C7F37" w14:textId="428EDDC7"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65290E6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14C391B" w14:textId="77777777" w:rsidTr="00576563">
        <w:tc>
          <w:tcPr>
            <w:tcW w:w="1730" w:type="dxa"/>
          </w:tcPr>
          <w:p w14:paraId="477F9347" w14:textId="260222F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441E10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E62F2BB" w14:textId="6CF3AFAE"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506CF5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D4A641E" w14:textId="77777777" w:rsidTr="00576563">
        <w:tc>
          <w:tcPr>
            <w:tcW w:w="1730" w:type="dxa"/>
          </w:tcPr>
          <w:p w14:paraId="203453D0" w14:textId="4CE610D9"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128003F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42402ED" w14:textId="028FD771"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It is clearer for the user but does create the risk of drift, should the Regulations be amended.</w:t>
            </w:r>
          </w:p>
        </w:tc>
        <w:tc>
          <w:tcPr>
            <w:tcW w:w="3752" w:type="dxa"/>
            <w:shd w:val="clear" w:color="auto" w:fill="E2EFD9" w:themeFill="accent6" w:themeFillTint="33"/>
          </w:tcPr>
          <w:p w14:paraId="049117CA"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44DB5798" w14:textId="77777777" w:rsidTr="00576563">
        <w:tc>
          <w:tcPr>
            <w:tcW w:w="1730" w:type="dxa"/>
          </w:tcPr>
          <w:p w14:paraId="1FB43313" w14:textId="3121208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F18264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80A152" w14:textId="698F8989"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 link could be provided within the Form of Curtailable Connection Agreement to enable the customer to access the information.  This will allow it to efficiently reflect any changes.</w:t>
            </w:r>
          </w:p>
        </w:tc>
        <w:tc>
          <w:tcPr>
            <w:tcW w:w="3752" w:type="dxa"/>
            <w:shd w:val="clear" w:color="auto" w:fill="E2EFD9" w:themeFill="accent6" w:themeFillTint="33"/>
          </w:tcPr>
          <w:p w14:paraId="2DB99D7C"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8DCF860" w14:textId="77777777" w:rsidTr="00576563">
        <w:tc>
          <w:tcPr>
            <w:tcW w:w="1730" w:type="dxa"/>
          </w:tcPr>
          <w:p w14:paraId="0EBEA959" w14:textId="5EE9069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3736CD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E24103C" w14:textId="6F3928B7"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See our response to q. 23. – potentially yes, if legal advice is that the definition of ‘Customer’ applies only to demand customers and not to generation customers - see our response to q.23.</w:t>
            </w:r>
          </w:p>
        </w:tc>
        <w:tc>
          <w:tcPr>
            <w:tcW w:w="3752" w:type="dxa"/>
            <w:shd w:val="clear" w:color="auto" w:fill="E2EFD9" w:themeFill="accent6" w:themeFillTint="33"/>
          </w:tcPr>
          <w:p w14:paraId="088F9F3F"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64C2535" w14:textId="77777777" w:rsidTr="00576563">
        <w:tc>
          <w:tcPr>
            <w:tcW w:w="1730" w:type="dxa"/>
          </w:tcPr>
          <w:p w14:paraId="5CA9C5DD" w14:textId="2CAF009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7818937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1DE1073" w14:textId="7E1B20EF"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 the intention is to maintain consistency between the application of the regulations to both energisation and curtailment end date and as such refence should be made to the latest regulations as in force at the time.</w:t>
            </w:r>
          </w:p>
        </w:tc>
        <w:tc>
          <w:tcPr>
            <w:tcW w:w="3752" w:type="dxa"/>
            <w:shd w:val="clear" w:color="auto" w:fill="E2EFD9" w:themeFill="accent6" w:themeFillTint="33"/>
          </w:tcPr>
          <w:p w14:paraId="1F29EBE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96A659D" w14:textId="77777777" w:rsidTr="00576563">
        <w:tc>
          <w:tcPr>
            <w:tcW w:w="1730" w:type="dxa"/>
          </w:tcPr>
          <w:p w14:paraId="03B4017C" w14:textId="50B64EA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2BA9AA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70BEE2C" w14:textId="4FA5F7B1"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Only if there is a legal opinion that the Regulations themselves cannot apply in this circumstance. In this case the regulations should be replicated in either DCUSA or the Connection Agreement.</w:t>
            </w:r>
          </w:p>
        </w:tc>
        <w:tc>
          <w:tcPr>
            <w:tcW w:w="3752" w:type="dxa"/>
            <w:shd w:val="clear" w:color="auto" w:fill="E2EFD9" w:themeFill="accent6" w:themeFillTint="33"/>
          </w:tcPr>
          <w:p w14:paraId="0FBCCF5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CE27CE4" w14:textId="77777777" w:rsidTr="00576563">
        <w:tc>
          <w:tcPr>
            <w:tcW w:w="1730" w:type="dxa"/>
          </w:tcPr>
          <w:p w14:paraId="2179377F" w14:textId="7CF39C6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252C57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C6D9D19" w14:textId="5B0D0F9D"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provisions within Appendix B look to make sense in regards to the detail required within a curtailed CA.</w:t>
            </w:r>
          </w:p>
        </w:tc>
        <w:tc>
          <w:tcPr>
            <w:tcW w:w="3752" w:type="dxa"/>
            <w:shd w:val="clear" w:color="auto" w:fill="E2EFD9" w:themeFill="accent6" w:themeFillTint="33"/>
          </w:tcPr>
          <w:p w14:paraId="1430BD7F"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3BED92E2" w14:textId="77777777" w:rsidTr="00576563">
        <w:tc>
          <w:tcPr>
            <w:tcW w:w="14081" w:type="dxa"/>
            <w:gridSpan w:val="4"/>
            <w:shd w:val="clear" w:color="auto" w:fill="E2EFD9" w:themeFill="accent6" w:themeFillTint="33"/>
          </w:tcPr>
          <w:p w14:paraId="39EFB488"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53F81FE" w14:textId="32B6ADC5" w:rsidR="009548DA" w:rsidRDefault="009548DA">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D1280" w:rsidRPr="007A0F4A" w14:paraId="33EA99EC"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1C82D3D" w14:textId="77777777" w:rsidR="009D1280" w:rsidRPr="007A0F4A" w:rsidRDefault="009D128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77C313B" w14:textId="77777777" w:rsidR="009D1280" w:rsidRPr="007A0F4A" w:rsidRDefault="009D128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279ADDA" w14:textId="77777777" w:rsidR="009D1280" w:rsidRPr="007A0F4A" w:rsidRDefault="009D128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10F7A0F" w14:textId="18686E9F" w:rsidR="009D1280" w:rsidRPr="007A0F4A" w:rsidRDefault="00540030">
            <w:pPr>
              <w:pStyle w:val="BodyTextNoSpacing"/>
              <w:numPr>
                <w:ilvl w:val="0"/>
                <w:numId w:val="3"/>
              </w:numPr>
              <w:rPr>
                <w:rFonts w:asciiTheme="minorHAnsi" w:hAnsiTheme="minorHAnsi" w:cstheme="minorHAnsi"/>
                <w:bCs/>
                <w:sz w:val="22"/>
                <w:szCs w:val="22"/>
              </w:rPr>
            </w:pPr>
            <w:r w:rsidRPr="00540030">
              <w:t>Do you agree that this additional paragraph satisfies the intent of the Access SCR Decision?</w:t>
            </w:r>
          </w:p>
        </w:tc>
        <w:tc>
          <w:tcPr>
            <w:tcW w:w="3752" w:type="dxa"/>
            <w:shd w:val="clear" w:color="auto" w:fill="E2EFD9" w:themeFill="accent6" w:themeFillTint="33"/>
          </w:tcPr>
          <w:p w14:paraId="09CA60A7" w14:textId="77777777" w:rsidR="009D1280" w:rsidRPr="007A0F4A" w:rsidRDefault="009D1280"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441F32B" w14:textId="77777777" w:rsidTr="00576563">
        <w:tc>
          <w:tcPr>
            <w:tcW w:w="1730" w:type="dxa"/>
          </w:tcPr>
          <w:p w14:paraId="5CF486DF" w14:textId="411A857F"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BE6F061"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55A08B22" w14:textId="6D9A3C99" w:rsidR="00895CE0" w:rsidRPr="00332B53" w:rsidRDefault="00895CE0" w:rsidP="00895CE0">
            <w:pPr>
              <w:rPr>
                <w:rFonts w:asciiTheme="minorHAnsi" w:hAnsiTheme="minorHAnsi" w:cstheme="minorHAnsi"/>
                <w:bCs/>
                <w:sz w:val="22"/>
                <w:szCs w:val="22"/>
              </w:rPr>
            </w:pPr>
            <w:r w:rsidRPr="00332B53">
              <w:rPr>
                <w:rFonts w:asciiTheme="minorHAnsi" w:hAnsiTheme="minorHAnsi" w:cstheme="minorHAnsi"/>
                <w:bCs/>
                <w:sz w:val="22"/>
                <w:szCs w:val="22"/>
              </w:rPr>
              <w:t xml:space="preserve">We believe that this paragraph satisfies the intent of the Access SCR, however it is not 100% clear from this paragraph, or the SCR decision that all the same terms of the curtailable connection (including the exceeded curtailment limit price) would apply in perpetuity. It may be worth clarifying that this would be the case. </w:t>
            </w:r>
          </w:p>
        </w:tc>
        <w:tc>
          <w:tcPr>
            <w:tcW w:w="3752" w:type="dxa"/>
            <w:shd w:val="clear" w:color="auto" w:fill="E2EFD9" w:themeFill="accent6" w:themeFillTint="33"/>
          </w:tcPr>
          <w:p w14:paraId="0B0685A6"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0F5A137A" w14:textId="77777777" w:rsidTr="00576563">
        <w:tc>
          <w:tcPr>
            <w:tcW w:w="1730" w:type="dxa"/>
          </w:tcPr>
          <w:p w14:paraId="4AD7F834" w14:textId="7CB55A5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5A59C2B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0901942" w14:textId="402DDB7A" w:rsidR="004000B8" w:rsidRPr="00332B53" w:rsidRDefault="00D07E32" w:rsidP="004000B8">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325E1F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44F8999" w14:textId="77777777" w:rsidTr="00576563">
        <w:tc>
          <w:tcPr>
            <w:tcW w:w="1730" w:type="dxa"/>
          </w:tcPr>
          <w:p w14:paraId="7BF9C9F4" w14:textId="5456B38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8C5A08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0AD5ECD" w14:textId="49424A8A" w:rsidR="004000B8" w:rsidRPr="00332B53" w:rsidRDefault="007F3C00" w:rsidP="004000B8">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61A919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2421364" w14:textId="77777777" w:rsidTr="00576563">
        <w:tc>
          <w:tcPr>
            <w:tcW w:w="1730" w:type="dxa"/>
          </w:tcPr>
          <w:p w14:paraId="70C8D327" w14:textId="1D326E0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63596EA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8F72E05" w14:textId="4BC85152" w:rsidR="004000B8" w:rsidRPr="00332B53" w:rsidRDefault="00E25A06" w:rsidP="004000B8">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DAD73D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1D0754A" w14:textId="77777777" w:rsidTr="00A964B9">
        <w:tc>
          <w:tcPr>
            <w:tcW w:w="1730" w:type="dxa"/>
            <w:shd w:val="clear" w:color="auto" w:fill="D9D9D9" w:themeFill="background1" w:themeFillShade="D9"/>
          </w:tcPr>
          <w:p w14:paraId="5E3A55E9" w14:textId="32B2F10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7EFEAACD"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AEB6E8A" w14:textId="4F953BC8" w:rsidR="004000B8" w:rsidRPr="00332B53" w:rsidRDefault="00A964B9" w:rsidP="004000B8">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04FC658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69D3606" w14:textId="77777777" w:rsidTr="00576563">
        <w:tc>
          <w:tcPr>
            <w:tcW w:w="1730" w:type="dxa"/>
          </w:tcPr>
          <w:p w14:paraId="2796CD64" w14:textId="15D5A37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F522E1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EC04F53" w14:textId="19392FB3" w:rsidR="004000B8" w:rsidRPr="00332B53" w:rsidRDefault="00017234" w:rsidP="004000B8">
            <w:pPr>
              <w:rPr>
                <w:rFonts w:asciiTheme="minorHAnsi" w:hAnsiTheme="minorHAnsi" w:cstheme="minorHAnsi"/>
                <w:bCs/>
                <w:sz w:val="22"/>
                <w:szCs w:val="22"/>
              </w:rPr>
            </w:pPr>
            <w:r w:rsidRPr="00332B53">
              <w:rPr>
                <w:rFonts w:asciiTheme="minorHAnsi" w:hAnsiTheme="minorHAnsi" w:cstheme="minorHAnsi"/>
                <w:bCs/>
                <w:sz w:val="22"/>
                <w:szCs w:val="22"/>
              </w:rPr>
              <w:t>No. The proposed paragraph only caters for a Customer choosing not to pay costs when the high-cost project threshold is exceeded. The Access SCR Decision is clear that the high-cost project threshold may not apply, but the Customer may choose not to pay any reinforcement and opt for an enduring Curtailable Connection (i.e. a generator connection that does not exceed the high-cost project threshold). The Customer must be presented with a counterfactual Non-Curtailable Connection Offer, therefore if the Customer is not willing to pay its reinforcement contribution, then the Customer can (i) accept the offer of a Curtailable Connection or (ii) reject the offer entirely.</w:t>
            </w:r>
          </w:p>
        </w:tc>
        <w:tc>
          <w:tcPr>
            <w:tcW w:w="3752" w:type="dxa"/>
            <w:shd w:val="clear" w:color="auto" w:fill="E2EFD9" w:themeFill="accent6" w:themeFillTint="33"/>
          </w:tcPr>
          <w:p w14:paraId="62B00AD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0E27B28" w14:textId="77777777" w:rsidTr="00576563">
        <w:tc>
          <w:tcPr>
            <w:tcW w:w="1730" w:type="dxa"/>
          </w:tcPr>
          <w:p w14:paraId="1685F9A1" w14:textId="3FEDB53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CC6470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D9F40C4" w14:textId="7771A2B8" w:rsidR="004000B8" w:rsidRPr="00332B53" w:rsidRDefault="00104400" w:rsidP="004000B8">
            <w:pPr>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718470A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7363FBA" w14:textId="77777777" w:rsidTr="00576563">
        <w:tc>
          <w:tcPr>
            <w:tcW w:w="1730" w:type="dxa"/>
          </w:tcPr>
          <w:p w14:paraId="563E7CAB" w14:textId="1D4F0CA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641941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CDC479A" w14:textId="58471866" w:rsidR="004000B8" w:rsidRPr="00332B53" w:rsidRDefault="001F67DB" w:rsidP="004000B8">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9B3865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7B30C8B" w14:textId="77777777" w:rsidTr="00576563">
        <w:tc>
          <w:tcPr>
            <w:tcW w:w="1730" w:type="dxa"/>
          </w:tcPr>
          <w:p w14:paraId="4A1FAF80" w14:textId="41A00A9A"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3C9CA74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0C935B6" w14:textId="7FBBF19C"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21E83CD"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31C86113" w14:textId="77777777" w:rsidTr="00576563">
        <w:tc>
          <w:tcPr>
            <w:tcW w:w="1730" w:type="dxa"/>
          </w:tcPr>
          <w:p w14:paraId="793B51C8" w14:textId="33C388B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3BD711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5A8A745" w14:textId="7CA96813" w:rsidR="004000B8" w:rsidRPr="00332B53" w:rsidRDefault="000C6C27"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225DE2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B6F4B01" w14:textId="77777777" w:rsidTr="00576563">
        <w:tc>
          <w:tcPr>
            <w:tcW w:w="1730" w:type="dxa"/>
          </w:tcPr>
          <w:p w14:paraId="5A8A2F48" w14:textId="6F61AFD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0244C7C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89DCAA8" w14:textId="79206159" w:rsidR="006760E3" w:rsidRPr="00332B53" w:rsidRDefault="008551DC" w:rsidP="006760E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 xml:space="preserve">No, we do not agree that the additional wording as per para 4.62 of the consultation document is sufficient. We consider it too narrow in scope. The proposed text only refers to a scenario in relation to the high-cost project threshold: “If you choose not to pay the costs in excess of the high-cost </w:t>
            </w:r>
            <w:r w:rsidRPr="00332B53">
              <w:rPr>
                <w:rFonts w:asciiTheme="minorHAnsi" w:hAnsiTheme="minorHAnsi" w:cstheme="minorHAnsi"/>
                <w:bCs/>
                <w:sz w:val="22"/>
                <w:szCs w:val="22"/>
              </w:rPr>
              <w:lastRenderedPageBreak/>
              <w:t>project threshold, you can request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 Curtailable Connection instead, then the connection will be Curtailable on an enduring basis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with no end-date. If you subsequently require a Non-Curtailable Connection, then this would</w:t>
            </w:r>
            <w:r w:rsidR="006760E3" w:rsidRPr="00332B53">
              <w:rPr>
                <w:rFonts w:asciiTheme="minorHAnsi" w:hAnsiTheme="minorHAnsi" w:cstheme="minorHAnsi"/>
                <w:bCs/>
                <w:sz w:val="22"/>
                <w:szCs w:val="22"/>
                <w:lang w:val="en-GB"/>
              </w:rPr>
              <w:t xml:space="preserve"> require a new connection request which may still be subject to excess costs.”</w:t>
            </w:r>
          </w:p>
          <w:p w14:paraId="61BCA2FA" w14:textId="571B97DD" w:rsidR="006760E3" w:rsidRPr="00332B53" w:rsidRDefault="006760E3" w:rsidP="006760E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However, in their decision document, para 4.65, Ofgem take a broader approach, stating that: “…, explicit end dates would not apply where a customer does not explicitly request a firm connection or is unwilling to accept the costs of firming up the connection at the point at which the connection agreement is reviewed. It would also not apply where the connection request triggers the </w:t>
            </w:r>
            <w:proofErr w:type="gramStart"/>
            <w:r w:rsidRPr="00332B53">
              <w:rPr>
                <w:rFonts w:asciiTheme="minorHAnsi" w:hAnsiTheme="minorHAnsi" w:cstheme="minorHAnsi"/>
                <w:bCs/>
                <w:sz w:val="22"/>
                <w:szCs w:val="22"/>
                <w:lang w:val="en-GB"/>
              </w:rPr>
              <w:t>HCC</w:t>
            </w:r>
            <w:proofErr w:type="gramEnd"/>
            <w:r w:rsidRPr="00332B53">
              <w:rPr>
                <w:rFonts w:asciiTheme="minorHAnsi" w:hAnsiTheme="minorHAnsi" w:cstheme="minorHAnsi"/>
                <w:bCs/>
                <w:sz w:val="22"/>
                <w:szCs w:val="22"/>
                <w:lang w:val="en-GB"/>
              </w:rPr>
              <w:t xml:space="preserve"> and the connecting customer does not agree to contribute to reinforcement costs above the cap. In such instances, non-firm arrangements can be made on an enduring basis with no set end date.”</w:t>
            </w:r>
          </w:p>
          <w:p w14:paraId="23B10957" w14:textId="1CC54603" w:rsidR="004000B8" w:rsidRPr="00332B53" w:rsidRDefault="006760E3" w:rsidP="006760E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We therefore suggest that the proposed additional text should be broadened to better reflect Ofgem’s other scenarios (as italicised).</w:t>
            </w:r>
          </w:p>
        </w:tc>
        <w:tc>
          <w:tcPr>
            <w:tcW w:w="3752" w:type="dxa"/>
            <w:shd w:val="clear" w:color="auto" w:fill="E2EFD9" w:themeFill="accent6" w:themeFillTint="33"/>
          </w:tcPr>
          <w:p w14:paraId="59C0259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616B6BD" w14:textId="77777777" w:rsidTr="00576563">
        <w:tc>
          <w:tcPr>
            <w:tcW w:w="1730" w:type="dxa"/>
          </w:tcPr>
          <w:p w14:paraId="249CEBD1" w14:textId="11A3F4F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30F80E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4CFE3F1" w14:textId="30903754"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6689B3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FDF60CC" w14:textId="77777777" w:rsidTr="00576563">
        <w:tc>
          <w:tcPr>
            <w:tcW w:w="1730" w:type="dxa"/>
          </w:tcPr>
          <w:p w14:paraId="56C30DDB" w14:textId="59F99F8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3F76A0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5AB0508" w14:textId="250CBAD4"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provides the required clarity for circumstances where curtailable connections will be an enduring solution with no defined end date.</w:t>
            </w:r>
          </w:p>
        </w:tc>
        <w:tc>
          <w:tcPr>
            <w:tcW w:w="3752" w:type="dxa"/>
            <w:shd w:val="clear" w:color="auto" w:fill="E2EFD9" w:themeFill="accent6" w:themeFillTint="33"/>
          </w:tcPr>
          <w:p w14:paraId="5CECB4C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0789A9B" w14:textId="77777777" w:rsidTr="00576563">
        <w:tc>
          <w:tcPr>
            <w:tcW w:w="1730" w:type="dxa"/>
          </w:tcPr>
          <w:p w14:paraId="335DC26A" w14:textId="586A5BF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EF82D3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1EB15C9" w14:textId="40D76B82"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appears to satisfy the intent on the Access SCR decision.</w:t>
            </w:r>
          </w:p>
        </w:tc>
        <w:tc>
          <w:tcPr>
            <w:tcW w:w="3752" w:type="dxa"/>
            <w:shd w:val="clear" w:color="auto" w:fill="E2EFD9" w:themeFill="accent6" w:themeFillTint="33"/>
          </w:tcPr>
          <w:p w14:paraId="32AF7718"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201136AD" w14:textId="77777777" w:rsidTr="00576563">
        <w:tc>
          <w:tcPr>
            <w:tcW w:w="14081" w:type="dxa"/>
            <w:gridSpan w:val="4"/>
            <w:shd w:val="clear" w:color="auto" w:fill="E2EFD9" w:themeFill="accent6" w:themeFillTint="33"/>
          </w:tcPr>
          <w:p w14:paraId="7AF4E564"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25351DE2" w14:textId="521B77C5" w:rsidR="009D1280" w:rsidRDefault="009D128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540030" w:rsidRPr="007A0F4A" w14:paraId="61078EA9"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B4E3638" w14:textId="77777777" w:rsidR="00540030" w:rsidRPr="007A0F4A" w:rsidRDefault="0054003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1282E7CD" w14:textId="77777777" w:rsidR="00540030" w:rsidRPr="007A0F4A" w:rsidRDefault="0054003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3036BB4" w14:textId="77777777" w:rsidR="00540030" w:rsidRPr="007A0F4A" w:rsidRDefault="0054003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547B61F" w14:textId="30A7AC09" w:rsidR="00540030" w:rsidRPr="007A0F4A" w:rsidRDefault="00FB210A">
            <w:pPr>
              <w:pStyle w:val="BodyTextNoSpacing"/>
              <w:numPr>
                <w:ilvl w:val="0"/>
                <w:numId w:val="3"/>
              </w:numPr>
              <w:rPr>
                <w:rFonts w:asciiTheme="minorHAnsi" w:hAnsiTheme="minorHAnsi" w:cstheme="minorHAnsi"/>
                <w:bCs/>
                <w:sz w:val="22"/>
                <w:szCs w:val="22"/>
              </w:rPr>
            </w:pPr>
            <w:r w:rsidRPr="00FB210A">
              <w:t>Do you agree that the required changes to the wording in the CCCM should be included in the legal text changes for DCP406?</w:t>
            </w:r>
          </w:p>
        </w:tc>
        <w:tc>
          <w:tcPr>
            <w:tcW w:w="3752" w:type="dxa"/>
            <w:shd w:val="clear" w:color="auto" w:fill="E2EFD9" w:themeFill="accent6" w:themeFillTint="33"/>
          </w:tcPr>
          <w:p w14:paraId="5B22CC61" w14:textId="77777777" w:rsidR="00540030" w:rsidRPr="007A0F4A" w:rsidRDefault="00540030"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6D16BA0B" w14:textId="77777777" w:rsidTr="00576563">
        <w:tc>
          <w:tcPr>
            <w:tcW w:w="1730" w:type="dxa"/>
          </w:tcPr>
          <w:p w14:paraId="3B9CFD6F" w14:textId="1BEC392D"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10B35B0D"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BB8BF63" w14:textId="799D7E33"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993259D"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750C5DBD" w14:textId="77777777" w:rsidTr="00576563">
        <w:tc>
          <w:tcPr>
            <w:tcW w:w="1730" w:type="dxa"/>
          </w:tcPr>
          <w:p w14:paraId="1920865D" w14:textId="5C78D4A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FCF4CC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EC0D0C6" w14:textId="6B87B7D0"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616000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FC58432" w14:textId="77777777" w:rsidTr="00576563">
        <w:tc>
          <w:tcPr>
            <w:tcW w:w="1730" w:type="dxa"/>
          </w:tcPr>
          <w:p w14:paraId="4DE434A0" w14:textId="2282FD8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46C3CCF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09A2C30" w14:textId="31675116"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It is probably easier for stakeholders not closely involved to see these changes in one place and hence include in the DCP406 text.</w:t>
            </w:r>
          </w:p>
        </w:tc>
        <w:tc>
          <w:tcPr>
            <w:tcW w:w="3752" w:type="dxa"/>
            <w:shd w:val="clear" w:color="auto" w:fill="E2EFD9" w:themeFill="accent6" w:themeFillTint="33"/>
          </w:tcPr>
          <w:p w14:paraId="159E2A3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C20A9AC" w14:textId="77777777" w:rsidTr="00576563">
        <w:tc>
          <w:tcPr>
            <w:tcW w:w="1730" w:type="dxa"/>
          </w:tcPr>
          <w:p w14:paraId="31417F3F" w14:textId="164535B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38BB53A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584F740" w14:textId="27DCB8CC"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90E13F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C5D47AF" w14:textId="77777777" w:rsidTr="00A964B9">
        <w:tc>
          <w:tcPr>
            <w:tcW w:w="1730" w:type="dxa"/>
            <w:shd w:val="clear" w:color="auto" w:fill="D9D9D9" w:themeFill="background1" w:themeFillShade="D9"/>
          </w:tcPr>
          <w:p w14:paraId="79ED3987" w14:textId="782A186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1CC4F737"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4B4CC688" w14:textId="64F78E9A"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5B69292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2D87D79" w14:textId="77777777" w:rsidTr="00576563">
        <w:tc>
          <w:tcPr>
            <w:tcW w:w="1730" w:type="dxa"/>
          </w:tcPr>
          <w:p w14:paraId="358EC6C2" w14:textId="01F7E5D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16BDCA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1FC4316" w14:textId="134569BF"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For this change to be implemented by DCP406 a change in scope would be required to that CP. Whilst this may be straightforward, we consider that it is unnecessary and should be implemented by this CP. It is not uncommon for separate CPs to amend the same paragraphs and all four Access SCR CPs are progressing in parallel and are discussed at the weekly Energy Networks Association (ENA) implementation steering group.</w:t>
            </w:r>
          </w:p>
        </w:tc>
        <w:tc>
          <w:tcPr>
            <w:tcW w:w="3752" w:type="dxa"/>
            <w:shd w:val="clear" w:color="auto" w:fill="E2EFD9" w:themeFill="accent6" w:themeFillTint="33"/>
          </w:tcPr>
          <w:p w14:paraId="25A6961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B8928B8" w14:textId="77777777" w:rsidTr="00576563">
        <w:tc>
          <w:tcPr>
            <w:tcW w:w="1730" w:type="dxa"/>
          </w:tcPr>
          <w:p w14:paraId="1C6F148A" w14:textId="1E3A283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C73B7B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E5CC40C" w14:textId="6E9B4D24"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7D9D9E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423C6EA" w14:textId="77777777" w:rsidTr="00576563">
        <w:tc>
          <w:tcPr>
            <w:tcW w:w="1730" w:type="dxa"/>
          </w:tcPr>
          <w:p w14:paraId="27BD8D70" w14:textId="382603D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2DE7CD5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0BE5429" w14:textId="5FFBBF2D"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0AF678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79410F3" w14:textId="77777777" w:rsidTr="00576563">
        <w:tc>
          <w:tcPr>
            <w:tcW w:w="1730" w:type="dxa"/>
          </w:tcPr>
          <w:p w14:paraId="79F8D909" w14:textId="1EAFBF17"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5AAB20D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217813D" w14:textId="69A0BF35"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AC5F6A7"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6B6F3BBF" w14:textId="77777777" w:rsidTr="00576563">
        <w:tc>
          <w:tcPr>
            <w:tcW w:w="1730" w:type="dxa"/>
          </w:tcPr>
          <w:p w14:paraId="6E701817" w14:textId="5742A5D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D59247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FD9AC3F" w14:textId="3CB82744" w:rsidR="004000B8" w:rsidRPr="00332B53" w:rsidRDefault="000C6C27"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CB1C8C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A325274" w14:textId="77777777" w:rsidTr="00576563">
        <w:tc>
          <w:tcPr>
            <w:tcW w:w="1730" w:type="dxa"/>
          </w:tcPr>
          <w:p w14:paraId="22203DE9" w14:textId="32E0930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9F3E8D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8C177BE"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No, we don’t. Instead, we propose below another solution. One element of Ofgem’s access reforms is the creation of a high cost project threshold for demand connections (and the retention of this for generation connections), whereby both demand and generation connectees become liable for reinforcement costs above the threshold. This element (1) is in scope of DCP406, which is proposing to amend Schedule 22 (the CCCM) by creating para 1.16. However, Ofgem acknowledge (in their decision document) that in such instances, some customers may not want to transfer to a non-curtailable connection agreement. In order to enable such customers to remain on a curtailable agreement, the same para 1.16, would need to be amended further (by adding to the DCP406 proposed wording), albeit this element (2) is in scope of DCP404.</w:t>
            </w:r>
          </w:p>
          <w:p w14:paraId="011B730B"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understand that it is not good practice for two concurrent CPs to amend the same section of legal text, which would be the case if element (1) was added via DCP406 and element (2) via DCP404. Alternatively, both elements could be added in full via either of the two CPs (albeit potentially breaching the scope of either CP). All of these options carry the risk that if Ofgem wishes to approve one but not the other of the CPs, the resulting legal text would be insufficient or, in part, superfluous, thereby not delivering Ofgem’s direction.</w:t>
            </w:r>
          </w:p>
          <w:p w14:paraId="2D3847BD" w14:textId="15191742" w:rsidR="004000B8"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suggest that to address this risk, both CPs require an alternative version of the legal text which ensures that if one of the CPs is rejected, Ofgem’s </w:t>
            </w:r>
            <w:r w:rsidRPr="00332B53">
              <w:rPr>
                <w:rFonts w:asciiTheme="minorHAnsi" w:hAnsiTheme="minorHAnsi" w:cstheme="minorHAnsi"/>
                <w:bCs/>
                <w:sz w:val="22"/>
                <w:szCs w:val="22"/>
              </w:rPr>
              <w:lastRenderedPageBreak/>
              <w:t>direction can still be delivered in respect of the other CP. We consider that it is for the DCUSA Code</w:t>
            </w:r>
          </w:p>
        </w:tc>
        <w:tc>
          <w:tcPr>
            <w:tcW w:w="3752" w:type="dxa"/>
            <w:shd w:val="clear" w:color="auto" w:fill="E2EFD9" w:themeFill="accent6" w:themeFillTint="33"/>
          </w:tcPr>
          <w:p w14:paraId="6324EA0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46B5142" w14:textId="77777777" w:rsidTr="00576563">
        <w:tc>
          <w:tcPr>
            <w:tcW w:w="1730" w:type="dxa"/>
          </w:tcPr>
          <w:p w14:paraId="4744FAD1" w14:textId="6C7450C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C5703F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140AF23" w14:textId="13481B59"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98BD4B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D925F8A" w14:textId="77777777" w:rsidTr="00576563">
        <w:tc>
          <w:tcPr>
            <w:tcW w:w="1730" w:type="dxa"/>
          </w:tcPr>
          <w:p w14:paraId="651545EF" w14:textId="454C8E3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C28C52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3214A01" w14:textId="5E709E70"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this can be agreed between the DCP 404 and DCP 406 working groups based on what is easiest for stakeholders to engage with as necessary.</w:t>
            </w:r>
          </w:p>
        </w:tc>
        <w:tc>
          <w:tcPr>
            <w:tcW w:w="3752" w:type="dxa"/>
            <w:shd w:val="clear" w:color="auto" w:fill="E2EFD9" w:themeFill="accent6" w:themeFillTint="33"/>
          </w:tcPr>
          <w:p w14:paraId="6F20EF8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E49D50F" w14:textId="77777777" w:rsidTr="00576563">
        <w:tc>
          <w:tcPr>
            <w:tcW w:w="1730" w:type="dxa"/>
          </w:tcPr>
          <w:p w14:paraId="19C03B50" w14:textId="24F94B7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EB023E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5D7B4E" w14:textId="695C5321"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makes sense to include them in DCP406.</w:t>
            </w:r>
          </w:p>
        </w:tc>
        <w:tc>
          <w:tcPr>
            <w:tcW w:w="3752" w:type="dxa"/>
            <w:shd w:val="clear" w:color="auto" w:fill="E2EFD9" w:themeFill="accent6" w:themeFillTint="33"/>
          </w:tcPr>
          <w:p w14:paraId="0B502FE3"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61221D6B" w14:textId="77777777" w:rsidTr="00576563">
        <w:tc>
          <w:tcPr>
            <w:tcW w:w="14081" w:type="dxa"/>
            <w:gridSpan w:val="4"/>
            <w:shd w:val="clear" w:color="auto" w:fill="E2EFD9" w:themeFill="accent6" w:themeFillTint="33"/>
          </w:tcPr>
          <w:p w14:paraId="365B2188"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02CE9C48" w14:textId="2B7FA658" w:rsidR="00540030" w:rsidRDefault="0054003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FB210A" w:rsidRPr="007A0F4A" w14:paraId="2A92829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B5B0AB3" w14:textId="77777777" w:rsidR="00FB210A" w:rsidRPr="007A0F4A" w:rsidRDefault="00FB210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4EB65B61" w14:textId="77777777" w:rsidR="00FB210A" w:rsidRPr="007A0F4A" w:rsidRDefault="00FB210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4DC76B9" w14:textId="77777777" w:rsidR="00FB210A" w:rsidRPr="007A0F4A" w:rsidRDefault="00FB210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58C372EB" w14:textId="2BF33DC1" w:rsidR="00FB210A" w:rsidRPr="007A0F4A" w:rsidRDefault="00007C5C">
            <w:pPr>
              <w:pStyle w:val="BodyTextNoSpacing"/>
              <w:numPr>
                <w:ilvl w:val="0"/>
                <w:numId w:val="3"/>
              </w:numPr>
              <w:rPr>
                <w:rFonts w:asciiTheme="minorHAnsi" w:hAnsiTheme="minorHAnsi" w:cstheme="minorHAnsi"/>
                <w:bCs/>
                <w:sz w:val="22"/>
                <w:szCs w:val="22"/>
              </w:rPr>
            </w:pPr>
            <w:r w:rsidRPr="00007C5C">
              <w:t>Do you agree with the Working Group in relation to the form of Curtailable Connection Agreement? If not, please provide your reasons.</w:t>
            </w:r>
          </w:p>
        </w:tc>
        <w:tc>
          <w:tcPr>
            <w:tcW w:w="3752" w:type="dxa"/>
            <w:shd w:val="clear" w:color="auto" w:fill="E2EFD9" w:themeFill="accent6" w:themeFillTint="33"/>
          </w:tcPr>
          <w:p w14:paraId="5D1C87CC" w14:textId="77777777" w:rsidR="00FB210A" w:rsidRPr="007A0F4A" w:rsidRDefault="00FB210A"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52E0E80E" w14:textId="77777777" w:rsidTr="00576563">
        <w:tc>
          <w:tcPr>
            <w:tcW w:w="1730" w:type="dxa"/>
          </w:tcPr>
          <w:p w14:paraId="032CD602" w14:textId="19334245"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A1AB73B"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1DF44E98" w14:textId="735569C6"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077E6E0"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1961E0CE" w14:textId="77777777" w:rsidTr="00576563">
        <w:tc>
          <w:tcPr>
            <w:tcW w:w="1730" w:type="dxa"/>
          </w:tcPr>
          <w:p w14:paraId="12E6B7D3" w14:textId="52E2DA6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826D16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43C154A" w14:textId="6E9D191F"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0098C8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3D0D4DE" w14:textId="77777777" w:rsidTr="00576563">
        <w:tc>
          <w:tcPr>
            <w:tcW w:w="1730" w:type="dxa"/>
          </w:tcPr>
          <w:p w14:paraId="37ADC8BB" w14:textId="63E0F7E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0FA7CD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493DB7C" w14:textId="64BA5657"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approach as one of the expected outcomes of the access reforms is that Non-Curtailable access provisions are consistent across all DNOs.</w:t>
            </w:r>
          </w:p>
        </w:tc>
        <w:tc>
          <w:tcPr>
            <w:tcW w:w="3752" w:type="dxa"/>
            <w:shd w:val="clear" w:color="auto" w:fill="E2EFD9" w:themeFill="accent6" w:themeFillTint="33"/>
          </w:tcPr>
          <w:p w14:paraId="7757F14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05B7A53" w14:textId="77777777" w:rsidTr="00576563">
        <w:tc>
          <w:tcPr>
            <w:tcW w:w="1730" w:type="dxa"/>
          </w:tcPr>
          <w:p w14:paraId="692A7D70" w14:textId="4893675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1E1B33D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4A08624" w14:textId="16F31D66"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will lead to consistency across DNOs.</w:t>
            </w:r>
          </w:p>
        </w:tc>
        <w:tc>
          <w:tcPr>
            <w:tcW w:w="3752" w:type="dxa"/>
            <w:shd w:val="clear" w:color="auto" w:fill="E2EFD9" w:themeFill="accent6" w:themeFillTint="33"/>
          </w:tcPr>
          <w:p w14:paraId="6D46CE0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A8BCA08" w14:textId="77777777" w:rsidTr="00576563">
        <w:tc>
          <w:tcPr>
            <w:tcW w:w="1730" w:type="dxa"/>
          </w:tcPr>
          <w:p w14:paraId="699064DC" w14:textId="59F0F35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637A46E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4FE0259" w14:textId="398B540C" w:rsidR="004000B8" w:rsidRPr="00332B53" w:rsidRDefault="00A964B9"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will lead to consistency across network operators.</w:t>
            </w:r>
          </w:p>
        </w:tc>
        <w:tc>
          <w:tcPr>
            <w:tcW w:w="3752" w:type="dxa"/>
            <w:shd w:val="clear" w:color="auto" w:fill="E2EFD9" w:themeFill="accent6" w:themeFillTint="33"/>
          </w:tcPr>
          <w:p w14:paraId="7FACFDA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670D583" w14:textId="77777777" w:rsidTr="00576563">
        <w:tc>
          <w:tcPr>
            <w:tcW w:w="1730" w:type="dxa"/>
          </w:tcPr>
          <w:p w14:paraId="6258F151" w14:textId="0BB5007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092EAA4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E468D27" w14:textId="294DCADF"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proposed some changes, without altering intent, which are included in the marked-up legal text appended to this response.</w:t>
            </w:r>
          </w:p>
        </w:tc>
        <w:tc>
          <w:tcPr>
            <w:tcW w:w="3752" w:type="dxa"/>
            <w:shd w:val="clear" w:color="auto" w:fill="E2EFD9" w:themeFill="accent6" w:themeFillTint="33"/>
          </w:tcPr>
          <w:p w14:paraId="53A1EF9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485FDD1" w14:textId="77777777" w:rsidTr="00576563">
        <w:tc>
          <w:tcPr>
            <w:tcW w:w="1730" w:type="dxa"/>
          </w:tcPr>
          <w:p w14:paraId="55C9FF6B" w14:textId="39DEB7B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158939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E2230DC" w14:textId="12518E63"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00B96C8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0BE6C7B" w14:textId="77777777" w:rsidTr="00576563">
        <w:tc>
          <w:tcPr>
            <w:tcW w:w="1730" w:type="dxa"/>
          </w:tcPr>
          <w:p w14:paraId="366CFB92" w14:textId="303B621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DFBE6B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3CF73D8" w14:textId="4A6F56B6"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89BEC2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8630A78" w14:textId="77777777" w:rsidTr="00576563">
        <w:tc>
          <w:tcPr>
            <w:tcW w:w="1730" w:type="dxa"/>
          </w:tcPr>
          <w:p w14:paraId="51A7A5E7" w14:textId="5521899E"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79475B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574F5C7" w14:textId="78AB8743"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3059647"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37B08F84" w14:textId="77777777" w:rsidTr="00576563">
        <w:tc>
          <w:tcPr>
            <w:tcW w:w="1730" w:type="dxa"/>
          </w:tcPr>
          <w:p w14:paraId="552A3277" w14:textId="02A9656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4EDEF32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A22AC34" w14:textId="6E857227"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largely agree with the proposed Curtailable Connection Agreement recognising that some elements may need to be updated slightly to reflect the outcome of this consultation.</w:t>
            </w:r>
          </w:p>
        </w:tc>
        <w:tc>
          <w:tcPr>
            <w:tcW w:w="3752" w:type="dxa"/>
            <w:shd w:val="clear" w:color="auto" w:fill="E2EFD9" w:themeFill="accent6" w:themeFillTint="33"/>
          </w:tcPr>
          <w:p w14:paraId="7F3537F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6D3051D" w14:textId="77777777" w:rsidTr="00576563">
        <w:tc>
          <w:tcPr>
            <w:tcW w:w="1730" w:type="dxa"/>
          </w:tcPr>
          <w:p w14:paraId="1A12207E" w14:textId="37A4666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4754CA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3098192" w14:textId="2543EF48" w:rsidR="004000B8" w:rsidRPr="00332B53" w:rsidRDefault="006760E3"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7EBCAA0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037A7CC" w14:textId="77777777" w:rsidTr="00576563">
        <w:tc>
          <w:tcPr>
            <w:tcW w:w="1730" w:type="dxa"/>
          </w:tcPr>
          <w:p w14:paraId="72B0665A" w14:textId="38F86D0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7453896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3CAEDE3" w14:textId="64285354"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B15039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3F6576C" w14:textId="77777777" w:rsidTr="00576563">
        <w:tc>
          <w:tcPr>
            <w:tcW w:w="1730" w:type="dxa"/>
          </w:tcPr>
          <w:p w14:paraId="40D2AC22" w14:textId="2D7BBBE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D2278E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E852CFA" w14:textId="38EB9B72"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the Agreement includes the important aspects of the connection.</w:t>
            </w:r>
          </w:p>
        </w:tc>
        <w:tc>
          <w:tcPr>
            <w:tcW w:w="3752" w:type="dxa"/>
            <w:shd w:val="clear" w:color="auto" w:fill="E2EFD9" w:themeFill="accent6" w:themeFillTint="33"/>
          </w:tcPr>
          <w:p w14:paraId="361B64C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BAC846C" w14:textId="77777777" w:rsidTr="00576563">
        <w:tc>
          <w:tcPr>
            <w:tcW w:w="1730" w:type="dxa"/>
          </w:tcPr>
          <w:p w14:paraId="4AF5A8BC" w14:textId="7EE53BC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D5711E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055DFEC" w14:textId="22705024"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is a consistent approach for DNOs/iDNOs and customers</w:t>
            </w:r>
          </w:p>
        </w:tc>
        <w:tc>
          <w:tcPr>
            <w:tcW w:w="3752" w:type="dxa"/>
            <w:shd w:val="clear" w:color="auto" w:fill="E2EFD9" w:themeFill="accent6" w:themeFillTint="33"/>
          </w:tcPr>
          <w:p w14:paraId="197C2BE4"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61A97F4A" w14:textId="77777777" w:rsidTr="00576563">
        <w:tc>
          <w:tcPr>
            <w:tcW w:w="14081" w:type="dxa"/>
            <w:gridSpan w:val="4"/>
            <w:shd w:val="clear" w:color="auto" w:fill="E2EFD9" w:themeFill="accent6" w:themeFillTint="33"/>
          </w:tcPr>
          <w:p w14:paraId="4A956DFE"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lastRenderedPageBreak/>
              <w:t xml:space="preserve">Working Group Conclusions: </w:t>
            </w:r>
          </w:p>
        </w:tc>
      </w:tr>
    </w:tbl>
    <w:p w14:paraId="5B1D45F9" w14:textId="3600E29C" w:rsidR="00FB210A" w:rsidRDefault="00FB210A">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007C5C" w:rsidRPr="007A0F4A" w14:paraId="2523A42D"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22F05C0" w14:textId="77777777" w:rsidR="00007C5C" w:rsidRPr="007A0F4A" w:rsidRDefault="00007C5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60FC4AF9" w14:textId="77777777" w:rsidR="00007C5C" w:rsidRPr="007A0F4A" w:rsidRDefault="00007C5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9D52373" w14:textId="77777777" w:rsidR="00007C5C" w:rsidRPr="007A0F4A" w:rsidRDefault="00007C5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0BDE053" w14:textId="7B5425A3" w:rsidR="00007C5C" w:rsidRPr="007A0F4A" w:rsidRDefault="0053268D">
            <w:pPr>
              <w:pStyle w:val="BodyTextNoSpacing"/>
              <w:numPr>
                <w:ilvl w:val="0"/>
                <w:numId w:val="3"/>
              </w:numPr>
              <w:rPr>
                <w:rFonts w:asciiTheme="minorHAnsi" w:hAnsiTheme="minorHAnsi" w:cstheme="minorHAnsi"/>
                <w:bCs/>
                <w:sz w:val="22"/>
                <w:szCs w:val="22"/>
              </w:rPr>
            </w:pPr>
            <w:r w:rsidRPr="0053268D">
              <w:t>Do you agree with the Working Group in relation to the approach used for incorporating amendments of the applicable NTC section into Appendix 2 of the form of Curtailable Connection Agreement? If not, please provide your reasons.</w:t>
            </w:r>
          </w:p>
        </w:tc>
        <w:tc>
          <w:tcPr>
            <w:tcW w:w="3752" w:type="dxa"/>
            <w:shd w:val="clear" w:color="auto" w:fill="E2EFD9" w:themeFill="accent6" w:themeFillTint="33"/>
          </w:tcPr>
          <w:p w14:paraId="5F53990E" w14:textId="77777777" w:rsidR="00007C5C" w:rsidRPr="007A0F4A" w:rsidRDefault="00007C5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03218FE" w14:textId="77777777" w:rsidTr="00576563">
        <w:tc>
          <w:tcPr>
            <w:tcW w:w="1730" w:type="dxa"/>
          </w:tcPr>
          <w:p w14:paraId="424B2B3F" w14:textId="3CF57FA5"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58C6E887"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1D3584F" w14:textId="6BEE4DE5"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Yes, this is the most sensible solution to amending the NTC only where it is necessary for curtailable connection customers</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03EFC3AB"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27EDD76B" w14:textId="77777777" w:rsidTr="00576563">
        <w:tc>
          <w:tcPr>
            <w:tcW w:w="1730" w:type="dxa"/>
          </w:tcPr>
          <w:p w14:paraId="4AE64A25" w14:textId="3980B9D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7FB755E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766ED9C" w14:textId="0F2BA2CE"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2B6552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034EDE1" w14:textId="77777777" w:rsidTr="00576563">
        <w:tc>
          <w:tcPr>
            <w:tcW w:w="1730" w:type="dxa"/>
          </w:tcPr>
          <w:p w14:paraId="26B99779" w14:textId="1A65CFD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8F4B36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E945ED3" w14:textId="0DB3A597"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w:t>
            </w:r>
          </w:p>
        </w:tc>
        <w:tc>
          <w:tcPr>
            <w:tcW w:w="3752" w:type="dxa"/>
            <w:shd w:val="clear" w:color="auto" w:fill="E2EFD9" w:themeFill="accent6" w:themeFillTint="33"/>
          </w:tcPr>
          <w:p w14:paraId="3D0692A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89632DB" w14:textId="77777777" w:rsidTr="00576563">
        <w:tc>
          <w:tcPr>
            <w:tcW w:w="1730" w:type="dxa"/>
          </w:tcPr>
          <w:p w14:paraId="0502551B" w14:textId="4EE2113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4587B13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1A684F8" w14:textId="49AF1416"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C47C67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00CD283" w14:textId="77777777" w:rsidTr="00A964B9">
        <w:tc>
          <w:tcPr>
            <w:tcW w:w="1730" w:type="dxa"/>
            <w:shd w:val="clear" w:color="auto" w:fill="D9D9D9" w:themeFill="background1" w:themeFillShade="D9"/>
          </w:tcPr>
          <w:p w14:paraId="70EF3BD8" w14:textId="51BB3CB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24D7C74E"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505BC4D" w14:textId="05ECF8DB"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48159BF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B4937E7" w14:textId="77777777" w:rsidTr="00576563">
        <w:tc>
          <w:tcPr>
            <w:tcW w:w="1730" w:type="dxa"/>
          </w:tcPr>
          <w:p w14:paraId="0971A598" w14:textId="17158BE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67EA6C5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74C3C2C" w14:textId="6AEB19E9" w:rsidR="004000B8" w:rsidRPr="00332B53" w:rsidRDefault="0001723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2AD3EA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6D457DF" w14:textId="77777777" w:rsidTr="00576563">
        <w:tc>
          <w:tcPr>
            <w:tcW w:w="1730" w:type="dxa"/>
          </w:tcPr>
          <w:p w14:paraId="3A7773DF" w14:textId="30A5F39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13A50C3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DD2DB39" w14:textId="2ECAFED6"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5D30DE7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87E9B02" w14:textId="77777777" w:rsidTr="00576563">
        <w:tc>
          <w:tcPr>
            <w:tcW w:w="1730" w:type="dxa"/>
          </w:tcPr>
          <w:p w14:paraId="2088AAFF" w14:textId="697DCDC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614CDA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7236C45" w14:textId="5116C0AF"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4FD67A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5C15F26" w14:textId="77777777" w:rsidTr="00576563">
        <w:tc>
          <w:tcPr>
            <w:tcW w:w="1730" w:type="dxa"/>
          </w:tcPr>
          <w:p w14:paraId="635E1003" w14:textId="1BDCA987"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2A992FB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1C927AC" w14:textId="6F081253"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Yes. </w:t>
            </w:r>
          </w:p>
        </w:tc>
        <w:tc>
          <w:tcPr>
            <w:tcW w:w="3752" w:type="dxa"/>
            <w:shd w:val="clear" w:color="auto" w:fill="E2EFD9" w:themeFill="accent6" w:themeFillTint="33"/>
          </w:tcPr>
          <w:p w14:paraId="2D03CC4D"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6ADDE164" w14:textId="77777777" w:rsidTr="00576563">
        <w:tc>
          <w:tcPr>
            <w:tcW w:w="1730" w:type="dxa"/>
          </w:tcPr>
          <w:p w14:paraId="47E01E8F" w14:textId="7B60501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C01225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28EA3D7" w14:textId="582C5D8B"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w:t>
            </w:r>
          </w:p>
        </w:tc>
        <w:tc>
          <w:tcPr>
            <w:tcW w:w="3752" w:type="dxa"/>
            <w:shd w:val="clear" w:color="auto" w:fill="E2EFD9" w:themeFill="accent6" w:themeFillTint="33"/>
          </w:tcPr>
          <w:p w14:paraId="4530594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F65B77F" w14:textId="77777777" w:rsidTr="00576563">
        <w:tc>
          <w:tcPr>
            <w:tcW w:w="1730" w:type="dxa"/>
          </w:tcPr>
          <w:p w14:paraId="311B335D" w14:textId="38ECACF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B8E4E0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D534053" w14:textId="6F1BF7A5" w:rsidR="004000B8" w:rsidRPr="00332B53" w:rsidRDefault="006760E3"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1DD7806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2E3E063" w14:textId="77777777" w:rsidTr="00576563">
        <w:tc>
          <w:tcPr>
            <w:tcW w:w="1730" w:type="dxa"/>
          </w:tcPr>
          <w:p w14:paraId="423776FE" w14:textId="6AB34A5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64DCBD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36C03EE" w14:textId="1F877999"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1DF699F"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7AEEA19" w14:textId="77777777" w:rsidTr="00576563">
        <w:tc>
          <w:tcPr>
            <w:tcW w:w="1730" w:type="dxa"/>
          </w:tcPr>
          <w:p w14:paraId="62D751AF" w14:textId="7B375BD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96596B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954CDA4" w14:textId="18BD5999"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are happy with amendments of the applicable NTC section being included into Appendix 2.</w:t>
            </w:r>
          </w:p>
        </w:tc>
        <w:tc>
          <w:tcPr>
            <w:tcW w:w="3752" w:type="dxa"/>
            <w:shd w:val="clear" w:color="auto" w:fill="E2EFD9" w:themeFill="accent6" w:themeFillTint="33"/>
          </w:tcPr>
          <w:p w14:paraId="5561E58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315500E" w14:textId="77777777" w:rsidTr="00576563">
        <w:tc>
          <w:tcPr>
            <w:tcW w:w="1730" w:type="dxa"/>
          </w:tcPr>
          <w:p w14:paraId="55B1C169" w14:textId="15CC4E4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F55C6C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8B71D14" w14:textId="61413257"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w:t>
            </w:r>
          </w:p>
        </w:tc>
        <w:tc>
          <w:tcPr>
            <w:tcW w:w="3752" w:type="dxa"/>
            <w:shd w:val="clear" w:color="auto" w:fill="E2EFD9" w:themeFill="accent6" w:themeFillTint="33"/>
          </w:tcPr>
          <w:p w14:paraId="63E353DE"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52621EDB" w14:textId="77777777" w:rsidTr="00576563">
        <w:tc>
          <w:tcPr>
            <w:tcW w:w="14081" w:type="dxa"/>
            <w:gridSpan w:val="4"/>
            <w:shd w:val="clear" w:color="auto" w:fill="E2EFD9" w:themeFill="accent6" w:themeFillTint="33"/>
          </w:tcPr>
          <w:p w14:paraId="666BD89E"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5B024C1E" w14:textId="7A7758EB" w:rsidR="00007C5C" w:rsidRDefault="00007C5C">
      <w:pPr>
        <w:rPr>
          <w:rFonts w:cstheme="minorHAnsi"/>
          <w:bCs/>
        </w:rPr>
      </w:pPr>
    </w:p>
    <w:tbl>
      <w:tblPr>
        <w:tblStyle w:val="ElectralinkResponseTable"/>
        <w:tblW w:w="14075" w:type="dxa"/>
        <w:tblInd w:w="108" w:type="dxa"/>
        <w:tblLayout w:type="fixed"/>
        <w:tblLook w:val="04A0" w:firstRow="1" w:lastRow="0" w:firstColumn="1" w:lastColumn="0" w:noHBand="0" w:noVBand="1"/>
      </w:tblPr>
      <w:tblGrid>
        <w:gridCol w:w="1730"/>
        <w:gridCol w:w="1518"/>
        <w:gridCol w:w="7069"/>
        <w:gridCol w:w="3752"/>
        <w:gridCol w:w="6"/>
      </w:tblGrid>
      <w:tr w:rsidR="0053268D" w:rsidRPr="007A0F4A" w14:paraId="21F09901" w14:textId="77777777" w:rsidTr="00FC694B">
        <w:trPr>
          <w:gridAfter w:val="1"/>
          <w:cnfStyle w:val="100000000000" w:firstRow="1" w:lastRow="0" w:firstColumn="0" w:lastColumn="0" w:oddVBand="0" w:evenVBand="0" w:oddHBand="0" w:evenHBand="0" w:firstRowFirstColumn="0" w:firstRowLastColumn="0" w:lastRowFirstColumn="0" w:lastRowLastColumn="0"/>
          <w:wAfter w:w="6" w:type="dxa"/>
        </w:trPr>
        <w:tc>
          <w:tcPr>
            <w:tcW w:w="1730" w:type="dxa"/>
            <w:shd w:val="clear" w:color="auto" w:fill="E2EFD9" w:themeFill="accent6" w:themeFillTint="33"/>
          </w:tcPr>
          <w:p w14:paraId="0BE235BE" w14:textId="77777777" w:rsidR="0053268D" w:rsidRPr="007A0F4A" w:rsidRDefault="0053268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18" w:type="dxa"/>
            <w:shd w:val="clear" w:color="auto" w:fill="E2EFD9" w:themeFill="accent6" w:themeFillTint="33"/>
          </w:tcPr>
          <w:p w14:paraId="00346722" w14:textId="77777777" w:rsidR="0053268D" w:rsidRPr="007A0F4A" w:rsidRDefault="0053268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5654429" w14:textId="77777777" w:rsidR="0053268D" w:rsidRPr="007A0F4A" w:rsidRDefault="0053268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8F4DDAB" w14:textId="3E880450" w:rsidR="0053268D" w:rsidRPr="007A0F4A" w:rsidRDefault="00CB6552">
            <w:pPr>
              <w:pStyle w:val="BodyTextNoSpacing"/>
              <w:numPr>
                <w:ilvl w:val="0"/>
                <w:numId w:val="3"/>
              </w:numPr>
              <w:rPr>
                <w:rFonts w:asciiTheme="minorHAnsi" w:hAnsiTheme="minorHAnsi" w:cstheme="minorHAnsi"/>
                <w:bCs/>
                <w:sz w:val="22"/>
                <w:szCs w:val="22"/>
              </w:rPr>
            </w:pPr>
            <w:r w:rsidRPr="00CB6552">
              <w:t>Do you agree that a Customer subject to a Curtailable Connection should be required to fund any end control equipment as is applicable to arrangements for Flexible Connections in accordance with Schedule 22? Please provide your rationale.</w:t>
            </w:r>
          </w:p>
        </w:tc>
        <w:tc>
          <w:tcPr>
            <w:tcW w:w="3752" w:type="dxa"/>
            <w:shd w:val="clear" w:color="auto" w:fill="E2EFD9" w:themeFill="accent6" w:themeFillTint="33"/>
          </w:tcPr>
          <w:p w14:paraId="74E8CC40" w14:textId="77777777" w:rsidR="0053268D" w:rsidRPr="007A0F4A" w:rsidRDefault="0053268D"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63FC2184" w14:textId="77777777" w:rsidTr="00FC694B">
        <w:trPr>
          <w:gridAfter w:val="1"/>
          <w:wAfter w:w="6" w:type="dxa"/>
        </w:trPr>
        <w:tc>
          <w:tcPr>
            <w:tcW w:w="1730" w:type="dxa"/>
          </w:tcPr>
          <w:p w14:paraId="24C61CF7" w14:textId="5A9EA3D0"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18" w:type="dxa"/>
          </w:tcPr>
          <w:p w14:paraId="5F5205E5"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8B91E0C" w14:textId="508FC792"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this approach is equitable to existing customers who have opted for flexible connections.</w:t>
            </w:r>
          </w:p>
        </w:tc>
        <w:tc>
          <w:tcPr>
            <w:tcW w:w="3752" w:type="dxa"/>
            <w:shd w:val="clear" w:color="auto" w:fill="E2EFD9" w:themeFill="accent6" w:themeFillTint="33"/>
          </w:tcPr>
          <w:p w14:paraId="20C295DE"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32159300" w14:textId="77777777" w:rsidTr="00FC694B">
        <w:trPr>
          <w:gridAfter w:val="1"/>
          <w:wAfter w:w="6" w:type="dxa"/>
        </w:trPr>
        <w:tc>
          <w:tcPr>
            <w:tcW w:w="1730" w:type="dxa"/>
          </w:tcPr>
          <w:p w14:paraId="2CAAD41F" w14:textId="6D12F11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EDF</w:t>
            </w:r>
          </w:p>
        </w:tc>
        <w:tc>
          <w:tcPr>
            <w:tcW w:w="1518" w:type="dxa"/>
          </w:tcPr>
          <w:p w14:paraId="3098801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577534A" w14:textId="726A37A5"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seems unreasonable that other consumers would have to fund this cost if it is solely for the use of a connecting customer. The connecting customer should make it part of their investment decision.</w:t>
            </w:r>
          </w:p>
        </w:tc>
        <w:tc>
          <w:tcPr>
            <w:tcW w:w="3752" w:type="dxa"/>
            <w:shd w:val="clear" w:color="auto" w:fill="E2EFD9" w:themeFill="accent6" w:themeFillTint="33"/>
          </w:tcPr>
          <w:p w14:paraId="2DC322A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631569B" w14:textId="77777777" w:rsidTr="00FC694B">
        <w:trPr>
          <w:gridAfter w:val="1"/>
          <w:wAfter w:w="6" w:type="dxa"/>
        </w:trPr>
        <w:tc>
          <w:tcPr>
            <w:tcW w:w="1730" w:type="dxa"/>
          </w:tcPr>
          <w:p w14:paraId="0CBB50A9" w14:textId="0AB87EB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18" w:type="dxa"/>
          </w:tcPr>
          <w:p w14:paraId="091222F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7D305DD" w14:textId="57B9CE59"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customers who request Non-Curtailable connections should fund additional costs as they currently would for a Flexible Connection, otherwise these costs would be borne by customers in general.</w:t>
            </w:r>
          </w:p>
        </w:tc>
        <w:tc>
          <w:tcPr>
            <w:tcW w:w="3752" w:type="dxa"/>
            <w:shd w:val="clear" w:color="auto" w:fill="E2EFD9" w:themeFill="accent6" w:themeFillTint="33"/>
          </w:tcPr>
          <w:p w14:paraId="1594BD5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96E06F1" w14:textId="77777777" w:rsidTr="00FC694B">
        <w:trPr>
          <w:gridAfter w:val="1"/>
          <w:wAfter w:w="6" w:type="dxa"/>
        </w:trPr>
        <w:tc>
          <w:tcPr>
            <w:tcW w:w="1730" w:type="dxa"/>
          </w:tcPr>
          <w:p w14:paraId="66C57388" w14:textId="62E1E72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18" w:type="dxa"/>
          </w:tcPr>
          <w:p w14:paraId="3FEE053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94BF763" w14:textId="574670FA"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Additional clarity is required to outline the costs involved for a typical connection and the treatment of control equipment at the curtailment end date. On principle of existing precedent, it would be consistent for customers to fund control equipment.</w:t>
            </w:r>
          </w:p>
        </w:tc>
        <w:tc>
          <w:tcPr>
            <w:tcW w:w="3752" w:type="dxa"/>
            <w:shd w:val="clear" w:color="auto" w:fill="E2EFD9" w:themeFill="accent6" w:themeFillTint="33"/>
          </w:tcPr>
          <w:p w14:paraId="625E5EF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D0C37AB" w14:textId="77777777" w:rsidTr="00FC694B">
        <w:trPr>
          <w:gridAfter w:val="1"/>
          <w:wAfter w:w="6" w:type="dxa"/>
        </w:trPr>
        <w:tc>
          <w:tcPr>
            <w:tcW w:w="1730" w:type="dxa"/>
          </w:tcPr>
          <w:p w14:paraId="19D10C27" w14:textId="0F6DB79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18" w:type="dxa"/>
          </w:tcPr>
          <w:p w14:paraId="03CBFE8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3EF2F2B" w14:textId="5A608EC0" w:rsidR="004000B8" w:rsidRPr="00332B53" w:rsidRDefault="00A964B9"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Additional clarity is required to outline the costs involved for a typical connection and the treatment of control equipment at the curtailment end date. On principle of existing precedent, it would be consistent for customers to fund control equipment.</w:t>
            </w:r>
          </w:p>
        </w:tc>
        <w:tc>
          <w:tcPr>
            <w:tcW w:w="3752" w:type="dxa"/>
            <w:shd w:val="clear" w:color="auto" w:fill="E2EFD9" w:themeFill="accent6" w:themeFillTint="33"/>
          </w:tcPr>
          <w:p w14:paraId="49F1671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6E91C01" w14:textId="77777777" w:rsidTr="00FC694B">
        <w:trPr>
          <w:gridAfter w:val="1"/>
          <w:wAfter w:w="6" w:type="dxa"/>
        </w:trPr>
        <w:tc>
          <w:tcPr>
            <w:tcW w:w="1730" w:type="dxa"/>
          </w:tcPr>
          <w:p w14:paraId="42785A20" w14:textId="7F29997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18" w:type="dxa"/>
          </w:tcPr>
          <w:p w14:paraId="1E26646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1E78B87" w14:textId="18BE3096"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is consistent with existing treatment of a flexible connection in Schedule 22 (‘Common Connection Charging Methodology’).</w:t>
            </w:r>
          </w:p>
        </w:tc>
        <w:tc>
          <w:tcPr>
            <w:tcW w:w="3752" w:type="dxa"/>
            <w:shd w:val="clear" w:color="auto" w:fill="E2EFD9" w:themeFill="accent6" w:themeFillTint="33"/>
          </w:tcPr>
          <w:p w14:paraId="6AE0A36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38D7771" w14:textId="77777777" w:rsidTr="00FC694B">
        <w:trPr>
          <w:gridAfter w:val="1"/>
          <w:wAfter w:w="6" w:type="dxa"/>
        </w:trPr>
        <w:tc>
          <w:tcPr>
            <w:tcW w:w="1730" w:type="dxa"/>
          </w:tcPr>
          <w:p w14:paraId="3B94C3DA" w14:textId="79F224A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18" w:type="dxa"/>
          </w:tcPr>
          <w:p w14:paraId="552A530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3C0A676" w14:textId="197AE4CC"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20BED21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75E80BD" w14:textId="77777777" w:rsidTr="00FC694B">
        <w:trPr>
          <w:gridAfter w:val="1"/>
          <w:wAfter w:w="6" w:type="dxa"/>
        </w:trPr>
        <w:tc>
          <w:tcPr>
            <w:tcW w:w="1730" w:type="dxa"/>
          </w:tcPr>
          <w:p w14:paraId="0A572E1F" w14:textId="5974149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18" w:type="dxa"/>
          </w:tcPr>
          <w:p w14:paraId="4D91100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1201822" w14:textId="41603624"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There may be circumstances where a customer wishes to install equipment at their cost to manage the impact of a curtailable connection, in which case this proposal is appropriate. However, this may need further consideration.</w:t>
            </w:r>
          </w:p>
        </w:tc>
        <w:tc>
          <w:tcPr>
            <w:tcW w:w="3752" w:type="dxa"/>
            <w:shd w:val="clear" w:color="auto" w:fill="E2EFD9" w:themeFill="accent6" w:themeFillTint="33"/>
          </w:tcPr>
          <w:p w14:paraId="574AB06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212B429" w14:textId="77777777" w:rsidTr="00FC694B">
        <w:trPr>
          <w:gridAfter w:val="1"/>
          <w:wAfter w:w="6" w:type="dxa"/>
        </w:trPr>
        <w:tc>
          <w:tcPr>
            <w:tcW w:w="1730" w:type="dxa"/>
          </w:tcPr>
          <w:p w14:paraId="262A889E" w14:textId="44516F83"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18" w:type="dxa"/>
          </w:tcPr>
          <w:p w14:paraId="48C7D34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5019912" w14:textId="205DF3C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95A238E"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3425FE3C" w14:textId="77777777" w:rsidTr="00FC694B">
        <w:trPr>
          <w:gridAfter w:val="1"/>
          <w:wAfter w:w="6" w:type="dxa"/>
        </w:trPr>
        <w:tc>
          <w:tcPr>
            <w:tcW w:w="1730" w:type="dxa"/>
          </w:tcPr>
          <w:p w14:paraId="3297F847" w14:textId="032FDE2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18" w:type="dxa"/>
          </w:tcPr>
          <w:p w14:paraId="0B1C921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21E1F9A" w14:textId="76F8746E"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 which is consistent with current provisions for funding of control equipment for flexible connections.</w:t>
            </w:r>
          </w:p>
        </w:tc>
        <w:tc>
          <w:tcPr>
            <w:tcW w:w="3752" w:type="dxa"/>
            <w:shd w:val="clear" w:color="auto" w:fill="E2EFD9" w:themeFill="accent6" w:themeFillTint="33"/>
          </w:tcPr>
          <w:p w14:paraId="38AF323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77AA2E0" w14:textId="77777777" w:rsidTr="00FC694B">
        <w:trPr>
          <w:gridAfter w:val="1"/>
          <w:wAfter w:w="6" w:type="dxa"/>
        </w:trPr>
        <w:tc>
          <w:tcPr>
            <w:tcW w:w="1730" w:type="dxa"/>
          </w:tcPr>
          <w:p w14:paraId="7E8FBD12" w14:textId="5E6AC87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18" w:type="dxa"/>
          </w:tcPr>
          <w:p w14:paraId="6B5550F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30F6C65" w14:textId="766F019E" w:rsidR="004000B8" w:rsidRPr="00332B53" w:rsidRDefault="006760E3"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1BE2ABE"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6F4B365" w14:textId="77777777" w:rsidTr="00FC694B">
        <w:trPr>
          <w:gridAfter w:val="1"/>
          <w:wAfter w:w="6" w:type="dxa"/>
        </w:trPr>
        <w:tc>
          <w:tcPr>
            <w:tcW w:w="1730" w:type="dxa"/>
          </w:tcPr>
          <w:p w14:paraId="33895ECF" w14:textId="4199B44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18" w:type="dxa"/>
          </w:tcPr>
          <w:p w14:paraId="38070A6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12818FF" w14:textId="116220C5"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where any equipment is installed for the sole-use of the connecting customer they should fund similar to other traditional extension assets.</w:t>
            </w:r>
          </w:p>
        </w:tc>
        <w:tc>
          <w:tcPr>
            <w:tcW w:w="3752" w:type="dxa"/>
            <w:shd w:val="clear" w:color="auto" w:fill="E2EFD9" w:themeFill="accent6" w:themeFillTint="33"/>
          </w:tcPr>
          <w:p w14:paraId="7A53ABD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8D384DF" w14:textId="77777777" w:rsidTr="00FC694B">
        <w:trPr>
          <w:gridAfter w:val="1"/>
          <w:wAfter w:w="6" w:type="dxa"/>
        </w:trPr>
        <w:tc>
          <w:tcPr>
            <w:tcW w:w="1730" w:type="dxa"/>
          </w:tcPr>
          <w:p w14:paraId="089711BE" w14:textId="40A6155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18" w:type="dxa"/>
          </w:tcPr>
          <w:p w14:paraId="269068F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D167A89" w14:textId="5FD82B97"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follows the same principles as for electrical costs i.e. the connecting customer pays for “sole-use” assets. This also aligns with the CCCM provision under paragraph 1.32A of Schedule 22 in DCUSA for cost allocation of equipment for flexible connections.</w:t>
            </w:r>
          </w:p>
        </w:tc>
        <w:tc>
          <w:tcPr>
            <w:tcW w:w="3752" w:type="dxa"/>
            <w:shd w:val="clear" w:color="auto" w:fill="E2EFD9" w:themeFill="accent6" w:themeFillTint="33"/>
          </w:tcPr>
          <w:p w14:paraId="326787D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0AC4683" w14:textId="77777777" w:rsidTr="00FC694B">
        <w:trPr>
          <w:gridAfter w:val="1"/>
          <w:wAfter w:w="6" w:type="dxa"/>
        </w:trPr>
        <w:tc>
          <w:tcPr>
            <w:tcW w:w="1730" w:type="dxa"/>
          </w:tcPr>
          <w:p w14:paraId="1FF219BF" w14:textId="3E8D3C4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18" w:type="dxa"/>
          </w:tcPr>
          <w:p w14:paraId="25D277F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6515F28" w14:textId="469ED59E"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customer should pay for all sole use equipment that will allow them an expedited connection. This is currently the case for ANM customers in that the customer pays for the connection control panel and comms equipment.</w:t>
            </w:r>
          </w:p>
        </w:tc>
        <w:tc>
          <w:tcPr>
            <w:tcW w:w="3752" w:type="dxa"/>
            <w:shd w:val="clear" w:color="auto" w:fill="E2EFD9" w:themeFill="accent6" w:themeFillTint="33"/>
          </w:tcPr>
          <w:p w14:paraId="4ABC30E3"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2D9BC060" w14:textId="77777777" w:rsidTr="00FC694B">
        <w:tc>
          <w:tcPr>
            <w:tcW w:w="14075" w:type="dxa"/>
            <w:gridSpan w:val="5"/>
            <w:shd w:val="clear" w:color="auto" w:fill="E2EFD9" w:themeFill="accent6" w:themeFillTint="33"/>
          </w:tcPr>
          <w:p w14:paraId="12965DDE"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4F9B1785" w14:textId="07F18511" w:rsidR="0053268D" w:rsidRDefault="0053268D">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B6552" w:rsidRPr="007A0F4A" w14:paraId="36F887B9"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A5AA2A5" w14:textId="77777777" w:rsidR="00CB6552" w:rsidRPr="007A0F4A" w:rsidRDefault="00CB655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21E9E30" w14:textId="77777777" w:rsidR="00CB6552" w:rsidRPr="007A0F4A" w:rsidRDefault="00CB655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BA74FDB" w14:textId="77777777" w:rsidR="00CB6552" w:rsidRPr="007A0F4A" w:rsidRDefault="00CB655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1FACCC1" w14:textId="0F8C7936" w:rsidR="00B635E6" w:rsidRDefault="00B635E6">
            <w:pPr>
              <w:pStyle w:val="BodyTextNoSpacing"/>
              <w:numPr>
                <w:ilvl w:val="0"/>
                <w:numId w:val="3"/>
              </w:numPr>
            </w:pPr>
            <w:r>
              <w:t>Do you consider that the proposal better facilitates the DCUSA General Objectives?</w:t>
            </w:r>
          </w:p>
          <w:p w14:paraId="1E022342" w14:textId="77777777" w:rsidR="00B635E6" w:rsidRDefault="00B635E6" w:rsidP="00B635E6">
            <w:pPr>
              <w:pStyle w:val="BodyTextNoSpacing"/>
              <w:ind w:left="720"/>
            </w:pPr>
          </w:p>
          <w:p w14:paraId="7D8DE0CA" w14:textId="530F5EB6" w:rsidR="00B635E6" w:rsidRDefault="00B635E6" w:rsidP="00B635E6">
            <w:pPr>
              <w:pStyle w:val="BodyTextNoSpacing"/>
              <w:ind w:left="720"/>
            </w:pPr>
            <w:r>
              <w:lastRenderedPageBreak/>
              <w:t>If so, please detail which of the General Objectives you believe are better facilitated and provide supporting reasons.</w:t>
            </w:r>
          </w:p>
          <w:p w14:paraId="0FB14DC1" w14:textId="77777777" w:rsidR="00B635E6" w:rsidRDefault="00B635E6" w:rsidP="00B635E6">
            <w:pPr>
              <w:pStyle w:val="BodyTextNoSpacing"/>
              <w:ind w:left="720"/>
            </w:pPr>
          </w:p>
          <w:p w14:paraId="0CAF7C26" w14:textId="46F59151" w:rsidR="00CB6552" w:rsidRPr="007A0F4A" w:rsidRDefault="00B635E6" w:rsidP="00B635E6">
            <w:pPr>
              <w:pStyle w:val="BodyTextNoSpacing"/>
              <w:ind w:left="720"/>
              <w:rPr>
                <w:rFonts w:asciiTheme="minorHAnsi" w:hAnsiTheme="minorHAnsi" w:cstheme="minorHAnsi"/>
                <w:bCs/>
                <w:sz w:val="22"/>
                <w:szCs w:val="22"/>
              </w:rPr>
            </w:pPr>
            <w:r>
              <w:t>If not, please provide supporting reasons.</w:t>
            </w:r>
          </w:p>
        </w:tc>
        <w:tc>
          <w:tcPr>
            <w:tcW w:w="3752" w:type="dxa"/>
            <w:shd w:val="clear" w:color="auto" w:fill="E2EFD9" w:themeFill="accent6" w:themeFillTint="33"/>
          </w:tcPr>
          <w:p w14:paraId="433A8476" w14:textId="77777777" w:rsidR="00CB6552" w:rsidRPr="007A0F4A" w:rsidRDefault="00CB6552"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lastRenderedPageBreak/>
              <w:t>Working Group Comments</w:t>
            </w:r>
          </w:p>
        </w:tc>
      </w:tr>
      <w:tr w:rsidR="00895CE0" w:rsidRPr="00332B53" w14:paraId="1FA639DB" w14:textId="77777777" w:rsidTr="00576563">
        <w:tc>
          <w:tcPr>
            <w:tcW w:w="1730" w:type="dxa"/>
          </w:tcPr>
          <w:p w14:paraId="2A8F8DAC" w14:textId="47063FE1"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03AC47E"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990FAC7" w14:textId="5A213B11" w:rsidR="00895CE0" w:rsidRPr="00332B53" w:rsidRDefault="00895CE0" w:rsidP="00576563">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the proposal better facilitates the general objectives as stated in the consultation.</w:t>
            </w:r>
          </w:p>
        </w:tc>
        <w:tc>
          <w:tcPr>
            <w:tcW w:w="3752" w:type="dxa"/>
            <w:shd w:val="clear" w:color="auto" w:fill="E2EFD9" w:themeFill="accent6" w:themeFillTint="33"/>
          </w:tcPr>
          <w:p w14:paraId="59F17870" w14:textId="77777777" w:rsidR="00895CE0" w:rsidRPr="00332B53" w:rsidRDefault="00895CE0" w:rsidP="00576563">
            <w:pPr>
              <w:pStyle w:val="BodyText"/>
              <w:rPr>
                <w:rFonts w:asciiTheme="majorHAnsi" w:hAnsiTheme="majorHAnsi" w:cstheme="majorHAnsi"/>
                <w:bCs/>
                <w:sz w:val="22"/>
                <w:szCs w:val="22"/>
              </w:rPr>
            </w:pPr>
          </w:p>
        </w:tc>
      </w:tr>
      <w:tr w:rsidR="004000B8" w:rsidRPr="00332B53" w14:paraId="7B8EF47A" w14:textId="77777777" w:rsidTr="00576563">
        <w:tc>
          <w:tcPr>
            <w:tcW w:w="1730" w:type="dxa"/>
          </w:tcPr>
          <w:p w14:paraId="26B44587" w14:textId="3774F28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CDC1E6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ED93C5F" w14:textId="77777777" w:rsidR="00D07E32" w:rsidRPr="00332B53" w:rsidRDefault="00D07E32" w:rsidP="00D07E32">
            <w:pPr>
              <w:pStyle w:val="BodyText"/>
              <w:rPr>
                <w:rFonts w:asciiTheme="majorHAnsi" w:hAnsiTheme="majorHAnsi" w:cstheme="majorHAnsi"/>
                <w:bCs/>
                <w:sz w:val="22"/>
                <w:szCs w:val="22"/>
              </w:rPr>
            </w:pPr>
            <w:r w:rsidRPr="00332B53">
              <w:rPr>
                <w:rFonts w:asciiTheme="majorHAnsi" w:hAnsiTheme="majorHAnsi" w:cstheme="majorHAnsi"/>
                <w:bCs/>
                <w:sz w:val="22"/>
                <w:szCs w:val="22"/>
              </w:rPr>
              <w:t xml:space="preserve">Yes, </w:t>
            </w:r>
          </w:p>
          <w:p w14:paraId="5386ADB5" w14:textId="2EEDE5E0" w:rsidR="004000B8" w:rsidRPr="00332B53" w:rsidRDefault="00D07E32" w:rsidP="00D07E32">
            <w:pPr>
              <w:pStyle w:val="BodyText"/>
              <w:rPr>
                <w:rFonts w:asciiTheme="majorHAnsi" w:hAnsiTheme="majorHAnsi" w:cstheme="majorHAnsi"/>
                <w:bCs/>
                <w:sz w:val="22"/>
                <w:szCs w:val="22"/>
              </w:rPr>
            </w:pPr>
            <w:r w:rsidRPr="00332B53">
              <w:rPr>
                <w:rFonts w:asciiTheme="majorHAnsi" w:hAnsiTheme="majorHAnsi" w:cstheme="majorHAnsi"/>
                <w:bCs/>
                <w:sz w:val="22"/>
                <w:szCs w:val="22"/>
              </w:rPr>
              <w:t>2.The facilitation of effective competition in the generation and supply of electricity and (so far as is consistent therewith) the promotion of such competition in the sale, distribution and purchase of electricity</w:t>
            </w:r>
          </w:p>
        </w:tc>
        <w:tc>
          <w:tcPr>
            <w:tcW w:w="3752" w:type="dxa"/>
            <w:shd w:val="clear" w:color="auto" w:fill="E2EFD9" w:themeFill="accent6" w:themeFillTint="33"/>
          </w:tcPr>
          <w:p w14:paraId="70C2C866"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653422DD" w14:textId="77777777" w:rsidTr="00576563">
        <w:tc>
          <w:tcPr>
            <w:tcW w:w="1730" w:type="dxa"/>
          </w:tcPr>
          <w:p w14:paraId="30750306" w14:textId="1C883DB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1401DB8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4F24BB" w14:textId="2C1F5AD5" w:rsidR="004000B8" w:rsidRPr="00332B53" w:rsidRDefault="007F3C00"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that the proposals better meet objectives 1 and 3 for the reasons set out in the consultation.</w:t>
            </w:r>
          </w:p>
        </w:tc>
        <w:tc>
          <w:tcPr>
            <w:tcW w:w="3752" w:type="dxa"/>
            <w:shd w:val="clear" w:color="auto" w:fill="E2EFD9" w:themeFill="accent6" w:themeFillTint="33"/>
          </w:tcPr>
          <w:p w14:paraId="4540E23D"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7175F0A8" w14:textId="77777777" w:rsidTr="00576563">
        <w:tc>
          <w:tcPr>
            <w:tcW w:w="1730" w:type="dxa"/>
          </w:tcPr>
          <w:p w14:paraId="70D44B67" w14:textId="31B4832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1B5D9AB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1043DE8" w14:textId="17D67BA1" w:rsidR="004000B8" w:rsidRPr="00332B53" w:rsidRDefault="00E25A06"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with the reasoning provided that the proposal better facilitates the stated objectives.</w:t>
            </w:r>
          </w:p>
        </w:tc>
        <w:tc>
          <w:tcPr>
            <w:tcW w:w="3752" w:type="dxa"/>
            <w:shd w:val="clear" w:color="auto" w:fill="E2EFD9" w:themeFill="accent6" w:themeFillTint="33"/>
          </w:tcPr>
          <w:p w14:paraId="4AC7E3AB"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248C8582" w14:textId="77777777" w:rsidTr="00A964B9">
        <w:tc>
          <w:tcPr>
            <w:tcW w:w="1730" w:type="dxa"/>
            <w:shd w:val="clear" w:color="auto" w:fill="D9D9D9" w:themeFill="background1" w:themeFillShade="D9"/>
          </w:tcPr>
          <w:p w14:paraId="5FBB4C84" w14:textId="75192C3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2F73601C"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783AEB2F" w14:textId="50DFD7E8" w:rsidR="004000B8" w:rsidRPr="00332B53" w:rsidRDefault="00A964B9" w:rsidP="004000B8">
            <w:pPr>
              <w:pStyle w:val="BodyText"/>
              <w:rPr>
                <w:rFonts w:asciiTheme="majorHAnsi" w:hAnsiTheme="majorHAnsi" w:cstheme="majorHAnsi"/>
                <w:bCs/>
                <w:sz w:val="22"/>
                <w:szCs w:val="22"/>
                <w:lang w:val="en-GB"/>
              </w:rPr>
            </w:pPr>
            <w:r w:rsidRPr="00332B53">
              <w:rPr>
                <w:rFonts w:asciiTheme="majorHAnsi" w:hAnsiTheme="majorHAnsi" w:cstheme="majorHAnsi"/>
                <w:bCs/>
                <w:sz w:val="22"/>
                <w:szCs w:val="22"/>
                <w:lang w:val="en-GB"/>
              </w:rPr>
              <w:t>N/A</w:t>
            </w:r>
          </w:p>
        </w:tc>
        <w:tc>
          <w:tcPr>
            <w:tcW w:w="3752" w:type="dxa"/>
            <w:shd w:val="clear" w:color="auto" w:fill="D9D9D9" w:themeFill="background1" w:themeFillShade="D9"/>
          </w:tcPr>
          <w:p w14:paraId="075D6230"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7A250DEB" w14:textId="77777777" w:rsidTr="00576563">
        <w:tc>
          <w:tcPr>
            <w:tcW w:w="1730" w:type="dxa"/>
          </w:tcPr>
          <w:p w14:paraId="5AEC1A09" w14:textId="61C11B4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EAFBA1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82D0A2" w14:textId="60AA319C" w:rsidR="004000B8" w:rsidRPr="00332B53" w:rsidRDefault="00017234"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We agree with the view set out in the consultation.</w:t>
            </w:r>
          </w:p>
        </w:tc>
        <w:tc>
          <w:tcPr>
            <w:tcW w:w="3752" w:type="dxa"/>
            <w:shd w:val="clear" w:color="auto" w:fill="E2EFD9" w:themeFill="accent6" w:themeFillTint="33"/>
          </w:tcPr>
          <w:p w14:paraId="038AAD3F"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11FC017C" w14:textId="77777777" w:rsidTr="00576563">
        <w:tc>
          <w:tcPr>
            <w:tcW w:w="1730" w:type="dxa"/>
          </w:tcPr>
          <w:p w14:paraId="705AA0DF" w14:textId="48407E1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5FDA75B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AE293C4" w14:textId="67888F6D" w:rsidR="004000B8" w:rsidRPr="00332B53" w:rsidRDefault="00104400"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Octopus will not comment on this question.</w:t>
            </w:r>
          </w:p>
        </w:tc>
        <w:tc>
          <w:tcPr>
            <w:tcW w:w="3752" w:type="dxa"/>
            <w:shd w:val="clear" w:color="auto" w:fill="E2EFD9" w:themeFill="accent6" w:themeFillTint="33"/>
          </w:tcPr>
          <w:p w14:paraId="414BBF70"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44726264" w14:textId="77777777" w:rsidTr="00576563">
        <w:tc>
          <w:tcPr>
            <w:tcW w:w="1730" w:type="dxa"/>
          </w:tcPr>
          <w:p w14:paraId="52719BA4" w14:textId="6D31DF2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B6CC2A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73BBCF" w14:textId="3C1BF387" w:rsidR="004000B8" w:rsidRPr="00332B53" w:rsidRDefault="001F67DB" w:rsidP="004000B8">
            <w:pPr>
              <w:pStyle w:val="BodyText"/>
              <w:rPr>
                <w:rFonts w:asciiTheme="majorHAnsi" w:hAnsiTheme="majorHAnsi" w:cstheme="majorHAnsi"/>
                <w:bCs/>
                <w:sz w:val="22"/>
                <w:szCs w:val="22"/>
                <w:lang w:val="en-GB"/>
              </w:rPr>
            </w:pPr>
            <w:r w:rsidRPr="00332B53">
              <w:rPr>
                <w:rFonts w:asciiTheme="majorHAnsi" w:hAnsiTheme="majorHAnsi" w:cstheme="majorHAnsi"/>
                <w:bCs/>
                <w:sz w:val="22"/>
                <w:szCs w:val="22"/>
                <w:lang w:val="en-GB"/>
              </w:rPr>
              <w:t>Yes.</w:t>
            </w:r>
          </w:p>
        </w:tc>
        <w:tc>
          <w:tcPr>
            <w:tcW w:w="3752" w:type="dxa"/>
            <w:shd w:val="clear" w:color="auto" w:fill="E2EFD9" w:themeFill="accent6" w:themeFillTint="33"/>
          </w:tcPr>
          <w:p w14:paraId="60F8D0E2"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07BABFD2" w14:textId="77777777" w:rsidTr="00576563">
        <w:tc>
          <w:tcPr>
            <w:tcW w:w="1730" w:type="dxa"/>
          </w:tcPr>
          <w:p w14:paraId="777B8A69" w14:textId="3D9210AA"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5979E5E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47620F1" w14:textId="4D58AA5E" w:rsidR="004000B8" w:rsidRPr="00332B53" w:rsidRDefault="004000B8" w:rsidP="004000B8">
            <w:pPr>
              <w:pStyle w:val="BodyText"/>
              <w:rPr>
                <w:rFonts w:asciiTheme="majorHAnsi" w:hAnsiTheme="majorHAnsi" w:cstheme="majorHAnsi"/>
                <w:bCs/>
                <w:sz w:val="22"/>
                <w:szCs w:val="22"/>
                <w:lang w:val="en-GB"/>
              </w:rPr>
            </w:pPr>
            <w:r w:rsidRPr="00332B53">
              <w:rPr>
                <w:rFonts w:asciiTheme="majorHAnsi" w:hAnsiTheme="majorHAnsi" w:cstheme="majorHAnsi"/>
                <w:bCs/>
                <w:sz w:val="22"/>
                <w:szCs w:val="22"/>
                <w:lang w:val="en-GB"/>
              </w:rPr>
              <w:t>Yes, against 1) and 3) for the reasons stated in the report.</w:t>
            </w:r>
          </w:p>
        </w:tc>
        <w:tc>
          <w:tcPr>
            <w:tcW w:w="3752" w:type="dxa"/>
            <w:shd w:val="clear" w:color="auto" w:fill="E2EFD9" w:themeFill="accent6" w:themeFillTint="33"/>
          </w:tcPr>
          <w:p w14:paraId="32DA9CB6" w14:textId="77777777" w:rsidR="004000B8" w:rsidRPr="00332B53" w:rsidRDefault="004000B8" w:rsidP="004000B8">
            <w:pPr>
              <w:pStyle w:val="BodyText"/>
              <w:rPr>
                <w:rFonts w:asciiTheme="majorHAnsi" w:hAnsiTheme="majorHAnsi" w:cstheme="majorHAnsi"/>
                <w:bCs/>
                <w:sz w:val="22"/>
                <w:szCs w:val="22"/>
                <w:lang w:val="en-GB"/>
              </w:rPr>
            </w:pPr>
          </w:p>
        </w:tc>
      </w:tr>
      <w:tr w:rsidR="004000B8" w:rsidRPr="00332B53" w14:paraId="1FE0EA6E" w14:textId="77777777" w:rsidTr="00576563">
        <w:tc>
          <w:tcPr>
            <w:tcW w:w="1730" w:type="dxa"/>
          </w:tcPr>
          <w:p w14:paraId="0EA2D169" w14:textId="27962C5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748656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8449803" w14:textId="77777777" w:rsidR="000C6C27" w:rsidRPr="00332B53" w:rsidRDefault="000C6C27" w:rsidP="000C6C27">
            <w:pPr>
              <w:pStyle w:val="BodyText"/>
              <w:rPr>
                <w:rFonts w:asciiTheme="majorHAnsi" w:hAnsiTheme="majorHAnsi" w:cstheme="majorHAnsi"/>
                <w:bCs/>
                <w:sz w:val="22"/>
                <w:szCs w:val="22"/>
              </w:rPr>
            </w:pPr>
            <w:r w:rsidRPr="00332B53">
              <w:rPr>
                <w:rFonts w:asciiTheme="majorHAnsi" w:hAnsiTheme="majorHAnsi" w:cstheme="majorHAnsi"/>
                <w:bCs/>
                <w:sz w:val="22"/>
                <w:szCs w:val="22"/>
              </w:rPr>
              <w:t xml:space="preserve">We do not agree that DCUSA General Objective one is better facilitated due to the proposal to use the highest flexibility market price of the DNO licence area as this is not economical. </w:t>
            </w:r>
          </w:p>
          <w:p w14:paraId="5A8888E6" w14:textId="77777777" w:rsidR="000C6C27" w:rsidRPr="00332B53" w:rsidRDefault="000C6C27" w:rsidP="000C6C27">
            <w:pPr>
              <w:pStyle w:val="BodyText"/>
              <w:rPr>
                <w:rFonts w:asciiTheme="majorHAnsi" w:hAnsiTheme="majorHAnsi" w:cstheme="majorHAnsi"/>
                <w:bCs/>
                <w:sz w:val="22"/>
                <w:szCs w:val="22"/>
              </w:rPr>
            </w:pPr>
          </w:p>
          <w:p w14:paraId="4F66624D" w14:textId="42F8C947" w:rsidR="004000B8" w:rsidRPr="00332B53" w:rsidRDefault="000C6C27" w:rsidP="000C6C27">
            <w:pPr>
              <w:pStyle w:val="BodyText"/>
              <w:rPr>
                <w:rFonts w:asciiTheme="majorHAnsi" w:hAnsiTheme="majorHAnsi" w:cstheme="majorHAnsi"/>
                <w:bCs/>
                <w:sz w:val="22"/>
                <w:szCs w:val="22"/>
              </w:rPr>
            </w:pPr>
            <w:r w:rsidRPr="00332B53">
              <w:rPr>
                <w:rFonts w:asciiTheme="majorHAnsi" w:hAnsiTheme="majorHAnsi" w:cstheme="majorHAnsi"/>
                <w:bCs/>
                <w:sz w:val="22"/>
                <w:szCs w:val="22"/>
              </w:rPr>
              <w:t xml:space="preserve">We agree that the proposed changes better facilitate DCUSA General Objective three as they allow for the efficient discharge of obligations imposed upon DNOs / IDNOs.   </w:t>
            </w:r>
          </w:p>
        </w:tc>
        <w:tc>
          <w:tcPr>
            <w:tcW w:w="3752" w:type="dxa"/>
            <w:shd w:val="clear" w:color="auto" w:fill="E2EFD9" w:themeFill="accent6" w:themeFillTint="33"/>
          </w:tcPr>
          <w:p w14:paraId="25D60DEC"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5238DEC0" w14:textId="77777777" w:rsidTr="00576563">
        <w:tc>
          <w:tcPr>
            <w:tcW w:w="1730" w:type="dxa"/>
          </w:tcPr>
          <w:p w14:paraId="0EF4612B" w14:textId="4730C71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5040741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F3ADEED"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1. The development, maintenance and operation by the DNO Parties and IDNO</w:t>
            </w:r>
          </w:p>
          <w:p w14:paraId="6086D195"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Parties of efficient, co-ordinated, and economical Distribution Networks Impact: positive - the proposal to create (mainly temporary) curtailable connection agreements encourages the efficient, co-ordinated and economical development and operation of distribution networks.</w:t>
            </w:r>
          </w:p>
          <w:p w14:paraId="2F2336C5"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2. The facilitation of effective competition in the generation and supply of</w:t>
            </w:r>
          </w:p>
          <w:p w14:paraId="74F8DDC8"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electricity and (so far as is consistent therewith) the promotion of such</w:t>
            </w:r>
          </w:p>
          <w:p w14:paraId="0A614708"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competition in the sale, distribution and purchase of electricity Impact: neutral. However, if the codification of the transparency (in accordance with the work (see Question 33 below) of the Energy Data Taskforce) of all the information introduced by this proposed change is achieved (in the way we have set out in our answers to this consultation), then positive in terms facilitating effective competition.</w:t>
            </w:r>
          </w:p>
          <w:p w14:paraId="50EEBDAB"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lastRenderedPageBreak/>
              <w:t>3. The efficient discharge by the DNO Parties and IDNO Parties of obligations</w:t>
            </w:r>
          </w:p>
          <w:p w14:paraId="71EF3910"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imposed upon them in their Distribution Licences Impact: positive, e.g. by supporting the distributors meeting their obligations in respect of SLC 31E (Procurement and use of Distribution Flexibility Services).</w:t>
            </w:r>
          </w:p>
          <w:p w14:paraId="016D02E4"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4. The promotion of efficiency in the implementation and administration of the</w:t>
            </w:r>
          </w:p>
          <w:p w14:paraId="4E14A3D8"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DCUSA Impact: neutral</w:t>
            </w:r>
          </w:p>
          <w:p w14:paraId="08DE6619"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5. Compliance with the EU Internal Market Regulation and any relevant legally</w:t>
            </w:r>
          </w:p>
          <w:p w14:paraId="53B20BB7" w14:textId="56FF76BE" w:rsidR="004000B8"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binding decisions of the European Commission and/or the Agency for the Cooperation of Energy Regulators. Impact: If in</w:t>
            </w:r>
          </w:p>
        </w:tc>
        <w:tc>
          <w:tcPr>
            <w:tcW w:w="3752" w:type="dxa"/>
            <w:shd w:val="clear" w:color="auto" w:fill="E2EFD9" w:themeFill="accent6" w:themeFillTint="33"/>
          </w:tcPr>
          <w:p w14:paraId="70784D42"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79C1FDED" w14:textId="77777777" w:rsidTr="00576563">
        <w:tc>
          <w:tcPr>
            <w:tcW w:w="1730" w:type="dxa"/>
          </w:tcPr>
          <w:p w14:paraId="736BC1D4" w14:textId="3553DA3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07F7DB5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AA5DBFD" w14:textId="0C8C7BDD" w:rsidR="004000B8" w:rsidRPr="00332B53" w:rsidRDefault="00745814"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1 and 3 as identified in this consultation</w:t>
            </w:r>
          </w:p>
        </w:tc>
        <w:tc>
          <w:tcPr>
            <w:tcW w:w="3752" w:type="dxa"/>
            <w:shd w:val="clear" w:color="auto" w:fill="E2EFD9" w:themeFill="accent6" w:themeFillTint="33"/>
          </w:tcPr>
          <w:p w14:paraId="57F554C5"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61992DD0" w14:textId="77777777" w:rsidTr="00576563">
        <w:tc>
          <w:tcPr>
            <w:tcW w:w="1730" w:type="dxa"/>
          </w:tcPr>
          <w:p w14:paraId="22221271" w14:textId="6CE71D4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02A36B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E81F720" w14:textId="011165DD" w:rsidR="004000B8" w:rsidRPr="00332B53" w:rsidRDefault="00E6467F"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that the proposal positively impacts objective 1 – the DNOs’/IDNOs’ ability to manage their networks efficiently, co-ordinated across the industry, and economically; and objective 3 where the proposal has positively impacted the DNOs’ and IDNOs’ ability to discharge their licence obligations.</w:t>
            </w:r>
          </w:p>
        </w:tc>
        <w:tc>
          <w:tcPr>
            <w:tcW w:w="3752" w:type="dxa"/>
            <w:shd w:val="clear" w:color="auto" w:fill="E2EFD9" w:themeFill="accent6" w:themeFillTint="33"/>
          </w:tcPr>
          <w:p w14:paraId="1AF26F01" w14:textId="77777777" w:rsidR="004000B8" w:rsidRPr="00332B53" w:rsidRDefault="004000B8" w:rsidP="004000B8">
            <w:pPr>
              <w:pStyle w:val="BodyText"/>
              <w:rPr>
                <w:rFonts w:asciiTheme="majorHAnsi" w:hAnsiTheme="majorHAnsi" w:cstheme="majorHAnsi"/>
                <w:bCs/>
                <w:sz w:val="22"/>
                <w:szCs w:val="22"/>
              </w:rPr>
            </w:pPr>
          </w:p>
        </w:tc>
      </w:tr>
      <w:tr w:rsidR="004000B8" w:rsidRPr="00332B53" w14:paraId="4B1B7FB8" w14:textId="77777777" w:rsidTr="00576563">
        <w:tc>
          <w:tcPr>
            <w:tcW w:w="1730" w:type="dxa"/>
          </w:tcPr>
          <w:p w14:paraId="12621486" w14:textId="795C5BC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57BA1AB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99ED31E" w14:textId="3B021533" w:rsidR="004000B8" w:rsidRPr="00332B53" w:rsidRDefault="00E6467F"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as outlined in 5.1</w:t>
            </w:r>
          </w:p>
        </w:tc>
        <w:tc>
          <w:tcPr>
            <w:tcW w:w="3752" w:type="dxa"/>
            <w:shd w:val="clear" w:color="auto" w:fill="E2EFD9" w:themeFill="accent6" w:themeFillTint="33"/>
          </w:tcPr>
          <w:p w14:paraId="7D15DF11" w14:textId="77777777" w:rsidR="004000B8" w:rsidRPr="00332B53" w:rsidRDefault="004000B8" w:rsidP="004000B8">
            <w:pPr>
              <w:pStyle w:val="BodyText"/>
              <w:rPr>
                <w:rFonts w:asciiTheme="majorHAnsi" w:hAnsiTheme="majorHAnsi" w:cstheme="majorHAnsi"/>
                <w:bCs/>
                <w:sz w:val="22"/>
                <w:szCs w:val="22"/>
              </w:rPr>
            </w:pPr>
          </w:p>
        </w:tc>
      </w:tr>
      <w:tr w:rsidR="004000B8" w:rsidRPr="007A0F4A" w14:paraId="7C4E8EF2" w14:textId="77777777" w:rsidTr="00576563">
        <w:tc>
          <w:tcPr>
            <w:tcW w:w="14081" w:type="dxa"/>
            <w:gridSpan w:val="4"/>
            <w:shd w:val="clear" w:color="auto" w:fill="E2EFD9" w:themeFill="accent6" w:themeFillTint="33"/>
          </w:tcPr>
          <w:p w14:paraId="225D9CA1"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578A93F2" w14:textId="2B64B0E7" w:rsidR="00CB6552" w:rsidRDefault="00CB6552">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B635E6" w:rsidRPr="007A0F4A" w14:paraId="572A8824"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AC9206C" w14:textId="77777777" w:rsidR="00B635E6" w:rsidRPr="007A0F4A" w:rsidRDefault="00B635E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50EDA5DA" w14:textId="77777777" w:rsidR="00B635E6" w:rsidRPr="007A0F4A" w:rsidRDefault="00B635E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8007523" w14:textId="77777777" w:rsidR="00B635E6" w:rsidRPr="007A0F4A" w:rsidRDefault="00B635E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ACAB475" w14:textId="75A57497" w:rsidR="00B635E6" w:rsidRPr="007A0F4A" w:rsidRDefault="00C9073D">
            <w:pPr>
              <w:pStyle w:val="BodyTextNoSpacing"/>
              <w:numPr>
                <w:ilvl w:val="0"/>
                <w:numId w:val="3"/>
              </w:numPr>
              <w:rPr>
                <w:rFonts w:asciiTheme="minorHAnsi" w:hAnsiTheme="minorHAnsi" w:cstheme="minorHAnsi"/>
                <w:bCs/>
                <w:sz w:val="22"/>
                <w:szCs w:val="22"/>
              </w:rPr>
            </w:pPr>
            <w:r w:rsidRPr="00C9073D">
              <w:t xml:space="preserve">Are you aware of any wider industry developments that may impact upon or be impacted by this CP?  </w:t>
            </w:r>
          </w:p>
        </w:tc>
        <w:tc>
          <w:tcPr>
            <w:tcW w:w="3752" w:type="dxa"/>
            <w:shd w:val="clear" w:color="auto" w:fill="E2EFD9" w:themeFill="accent6" w:themeFillTint="33"/>
          </w:tcPr>
          <w:p w14:paraId="4D79DD45" w14:textId="77777777" w:rsidR="00B635E6" w:rsidRPr="007A0F4A" w:rsidRDefault="00B635E6"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700299FC" w14:textId="77777777" w:rsidTr="00576563">
        <w:tc>
          <w:tcPr>
            <w:tcW w:w="1730" w:type="dxa"/>
          </w:tcPr>
          <w:p w14:paraId="7B04AE09" w14:textId="2EDA5BF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7D958F2B"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DA26738" w14:textId="0AFA6205"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Aside from the other Access SCR CP’s, no</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0A5EC044"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14882E1E" w14:textId="77777777" w:rsidTr="00576563">
        <w:tc>
          <w:tcPr>
            <w:tcW w:w="1730" w:type="dxa"/>
          </w:tcPr>
          <w:p w14:paraId="2C397E78" w14:textId="6100BED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4B5844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2A08AF5" w14:textId="7FC2E313"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53FFB9CF"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8E44D07" w14:textId="77777777" w:rsidTr="00576563">
        <w:tc>
          <w:tcPr>
            <w:tcW w:w="1730" w:type="dxa"/>
          </w:tcPr>
          <w:p w14:paraId="4045F613" w14:textId="74A519C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56FDFE2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90C3AC4" w14:textId="55F11641"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Ofgem needs to consider funding mechanisms via RIIO-ED2 proposals.</w:t>
            </w:r>
          </w:p>
        </w:tc>
        <w:tc>
          <w:tcPr>
            <w:tcW w:w="3752" w:type="dxa"/>
            <w:shd w:val="clear" w:color="auto" w:fill="E2EFD9" w:themeFill="accent6" w:themeFillTint="33"/>
          </w:tcPr>
          <w:p w14:paraId="1537632C"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8C84F6D" w14:textId="77777777" w:rsidTr="00576563">
        <w:tc>
          <w:tcPr>
            <w:tcW w:w="1730" w:type="dxa"/>
          </w:tcPr>
          <w:p w14:paraId="359A4296" w14:textId="7CDB274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9F9442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AB7F623" w14:textId="1035D840"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None.</w:t>
            </w:r>
          </w:p>
        </w:tc>
        <w:tc>
          <w:tcPr>
            <w:tcW w:w="3752" w:type="dxa"/>
            <w:shd w:val="clear" w:color="auto" w:fill="E2EFD9" w:themeFill="accent6" w:themeFillTint="33"/>
          </w:tcPr>
          <w:p w14:paraId="2E6A8DA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4EDCAF9" w14:textId="77777777" w:rsidTr="00A964B9">
        <w:tc>
          <w:tcPr>
            <w:tcW w:w="1730" w:type="dxa"/>
            <w:shd w:val="clear" w:color="auto" w:fill="D9D9D9" w:themeFill="background1" w:themeFillShade="D9"/>
          </w:tcPr>
          <w:p w14:paraId="09492BB0" w14:textId="7E7DF6E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71DC55E"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2C299D76" w14:textId="19409284"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538A8A7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8FDE1E2" w14:textId="77777777" w:rsidTr="00576563">
        <w:tc>
          <w:tcPr>
            <w:tcW w:w="1730" w:type="dxa"/>
          </w:tcPr>
          <w:p w14:paraId="3C05DE00" w14:textId="4175D35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822856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F63E334" w14:textId="21D677D6" w:rsidR="004000B8" w:rsidRPr="00332B53" w:rsidRDefault="00017234" w:rsidP="00017234">
            <w:pPr>
              <w:rPr>
                <w:rFonts w:asciiTheme="minorHAnsi" w:hAnsiTheme="minorHAnsi" w:cstheme="minorHAnsi"/>
                <w:bCs/>
                <w:sz w:val="22"/>
                <w:szCs w:val="22"/>
              </w:rPr>
            </w:pPr>
            <w:r w:rsidRPr="00332B53">
              <w:rPr>
                <w:rFonts w:asciiTheme="minorHAnsi" w:hAnsiTheme="minorHAnsi" w:cstheme="minorHAnsi"/>
                <w:bCs/>
                <w:sz w:val="22"/>
                <w:szCs w:val="22"/>
              </w:rPr>
              <w:t>We recognise that this CP is one of four CPs raised to implement the Access SCR Decision. The interaction between the four CPs should be considered to ensure consistency where necessary.</w:t>
            </w:r>
          </w:p>
        </w:tc>
        <w:tc>
          <w:tcPr>
            <w:tcW w:w="3752" w:type="dxa"/>
            <w:shd w:val="clear" w:color="auto" w:fill="E2EFD9" w:themeFill="accent6" w:themeFillTint="33"/>
          </w:tcPr>
          <w:p w14:paraId="6610439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D2E0300" w14:textId="77777777" w:rsidTr="00576563">
        <w:tc>
          <w:tcPr>
            <w:tcW w:w="1730" w:type="dxa"/>
          </w:tcPr>
          <w:p w14:paraId="61DCCDB4" w14:textId="603A495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ECC52F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F97F978" w14:textId="48D5ED41"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 development of DSO incentives in the ED period, as mentioned in our response to question 16.</w:t>
            </w:r>
          </w:p>
        </w:tc>
        <w:tc>
          <w:tcPr>
            <w:tcW w:w="3752" w:type="dxa"/>
            <w:shd w:val="clear" w:color="auto" w:fill="E2EFD9" w:themeFill="accent6" w:themeFillTint="33"/>
          </w:tcPr>
          <w:p w14:paraId="744A305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B2E0F3E" w14:textId="77777777" w:rsidTr="00576563">
        <w:tc>
          <w:tcPr>
            <w:tcW w:w="1730" w:type="dxa"/>
          </w:tcPr>
          <w:p w14:paraId="59A45235" w14:textId="371D3F9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FF2A4A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AA4707D" w14:textId="41EB6620"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417C5DF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0D098C0" w14:textId="77777777" w:rsidTr="00576563">
        <w:tc>
          <w:tcPr>
            <w:tcW w:w="1730" w:type="dxa"/>
          </w:tcPr>
          <w:p w14:paraId="15B5B262" w14:textId="72FA4479"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7689234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61A63A9" w14:textId="39ED2A0C"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3D6E055D"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7421ECAB" w14:textId="77777777" w:rsidTr="00576563">
        <w:tc>
          <w:tcPr>
            <w:tcW w:w="1730" w:type="dxa"/>
          </w:tcPr>
          <w:p w14:paraId="445A5545" w14:textId="0621CBF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886208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BFADA74"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Open Networks, Workstream 1A Product 5 Primacy Rules, may impact how DSOs utilise flexibility services.</w:t>
            </w:r>
          </w:p>
          <w:p w14:paraId="019B4632" w14:textId="77777777" w:rsidR="000C6C27" w:rsidRPr="00332B53" w:rsidRDefault="000C6C27" w:rsidP="000C6C27">
            <w:pPr>
              <w:pStyle w:val="BodyText"/>
              <w:rPr>
                <w:rFonts w:asciiTheme="minorHAnsi" w:hAnsiTheme="minorHAnsi" w:cstheme="minorHAnsi"/>
                <w:bCs/>
                <w:sz w:val="22"/>
                <w:szCs w:val="22"/>
              </w:rPr>
            </w:pPr>
          </w:p>
          <w:p w14:paraId="2C9A49BC" w14:textId="3CE0AC87" w:rsidR="004000B8"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In the same way that transmission constraints are excluded, if National Grid issue an instruction to the DNO that impacts on the management of curtailment through flexibility services, these should be excluded from the Exceeded Curtailment calculations.</w:t>
            </w:r>
          </w:p>
        </w:tc>
        <w:tc>
          <w:tcPr>
            <w:tcW w:w="3752" w:type="dxa"/>
            <w:shd w:val="clear" w:color="auto" w:fill="E2EFD9" w:themeFill="accent6" w:themeFillTint="33"/>
          </w:tcPr>
          <w:p w14:paraId="360B8CB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6430C303" w14:textId="77777777" w:rsidTr="00576563">
        <w:tc>
          <w:tcPr>
            <w:tcW w:w="1730" w:type="dxa"/>
          </w:tcPr>
          <w:p w14:paraId="207B80B3" w14:textId="599AC63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D05299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C0F3506"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understand that in order to fully implement the Access policies, Ofgem considers that in addition to the four DCUSA change proposals, further Electricity Distribution Licence and legislative change may be necessary. We are keen to see the details of this.</w:t>
            </w:r>
          </w:p>
          <w:p w14:paraId="0A189804" w14:textId="546BE0EC" w:rsidR="004000B8"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As outlined in our response to q. 17, we consider that the EU Clean Energy Package may apply in the context of this change proposal.</w:t>
            </w:r>
          </w:p>
        </w:tc>
        <w:tc>
          <w:tcPr>
            <w:tcW w:w="3752" w:type="dxa"/>
            <w:shd w:val="clear" w:color="auto" w:fill="E2EFD9" w:themeFill="accent6" w:themeFillTint="33"/>
          </w:tcPr>
          <w:p w14:paraId="6C8C79FD"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507CB56" w14:textId="77777777" w:rsidTr="00576563">
        <w:tc>
          <w:tcPr>
            <w:tcW w:w="1730" w:type="dxa"/>
          </w:tcPr>
          <w:p w14:paraId="775DCCEF" w14:textId="21B396C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648BE82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6561FC5" w14:textId="6BBC7FAD"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None that have not already been identified by DCUSA, ECCR, Licence or DNO specific changes</w:t>
            </w:r>
          </w:p>
        </w:tc>
        <w:tc>
          <w:tcPr>
            <w:tcW w:w="3752" w:type="dxa"/>
            <w:shd w:val="clear" w:color="auto" w:fill="E2EFD9" w:themeFill="accent6" w:themeFillTint="33"/>
          </w:tcPr>
          <w:p w14:paraId="110DAF39"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4CB237B" w14:textId="77777777" w:rsidTr="00576563">
        <w:tc>
          <w:tcPr>
            <w:tcW w:w="1730" w:type="dxa"/>
          </w:tcPr>
          <w:p w14:paraId="36EA83F1" w14:textId="01AD40B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5DD476B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ADB0CDE" w14:textId="4FD010CB"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 RIIO-ED2 Price Control – the cost impact of the proposals contained within this DCP and associated DCPs (DCP 45, DCP 406 and DCP 406) must be reflected in the RIIO-ED2 price control settlement. This matter is being managed through the RIIO-ED2 process.</w:t>
            </w:r>
          </w:p>
        </w:tc>
        <w:tc>
          <w:tcPr>
            <w:tcW w:w="3752" w:type="dxa"/>
            <w:shd w:val="clear" w:color="auto" w:fill="E2EFD9" w:themeFill="accent6" w:themeFillTint="33"/>
          </w:tcPr>
          <w:p w14:paraId="008977F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3FE7FAE" w14:textId="77777777" w:rsidTr="00576563">
        <w:tc>
          <w:tcPr>
            <w:tcW w:w="1730" w:type="dxa"/>
          </w:tcPr>
          <w:p w14:paraId="4CC7E3B6" w14:textId="6E988B3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B778E9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4A5152A" w14:textId="106C68CF" w:rsidR="004000B8" w:rsidRPr="00332B53" w:rsidRDefault="00E6467F"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C29A07B"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7445BD3B" w14:textId="77777777" w:rsidTr="00576563">
        <w:tc>
          <w:tcPr>
            <w:tcW w:w="14081" w:type="dxa"/>
            <w:gridSpan w:val="4"/>
            <w:shd w:val="clear" w:color="auto" w:fill="E2EFD9" w:themeFill="accent6" w:themeFillTint="33"/>
          </w:tcPr>
          <w:p w14:paraId="1D80E108"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50E34B35" w14:textId="7D9407C8" w:rsidR="00B635E6" w:rsidRDefault="00B635E6">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9073D" w:rsidRPr="007A0F4A" w14:paraId="402CF1D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44C541E" w14:textId="77777777" w:rsidR="00C9073D" w:rsidRPr="007A0F4A" w:rsidRDefault="00C9073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2F440B1F" w14:textId="77777777" w:rsidR="00C9073D" w:rsidRPr="007A0F4A" w:rsidRDefault="00C9073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06B606D" w14:textId="77777777" w:rsidR="00C9073D" w:rsidRPr="007A0F4A" w:rsidRDefault="00C9073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25F3055" w14:textId="4C3B8AE1" w:rsidR="00C9073D" w:rsidRPr="007A0F4A" w:rsidRDefault="00FF6129">
            <w:pPr>
              <w:pStyle w:val="BodyTextNoSpacing"/>
              <w:numPr>
                <w:ilvl w:val="0"/>
                <w:numId w:val="3"/>
              </w:numPr>
              <w:rPr>
                <w:rFonts w:asciiTheme="minorHAnsi" w:hAnsiTheme="minorHAnsi" w:cstheme="minorHAnsi"/>
                <w:bCs/>
                <w:sz w:val="22"/>
                <w:szCs w:val="22"/>
              </w:rPr>
            </w:pPr>
            <w:r w:rsidRPr="00FF6129">
              <w:t>Do you have any comments on the proposed legal text?</w:t>
            </w:r>
          </w:p>
        </w:tc>
        <w:tc>
          <w:tcPr>
            <w:tcW w:w="3752" w:type="dxa"/>
            <w:shd w:val="clear" w:color="auto" w:fill="E2EFD9" w:themeFill="accent6" w:themeFillTint="33"/>
          </w:tcPr>
          <w:p w14:paraId="68CDF495" w14:textId="77777777" w:rsidR="00C9073D" w:rsidRPr="007A0F4A" w:rsidRDefault="00C9073D"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0A52DCDB" w14:textId="77777777" w:rsidTr="00576563">
        <w:tc>
          <w:tcPr>
            <w:tcW w:w="1730" w:type="dxa"/>
          </w:tcPr>
          <w:p w14:paraId="5F9C0A78" w14:textId="27EF64F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004A7F74"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5084129" w14:textId="18E05844"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Nothing that hasn’t already been considered in responses to other questions.</w:t>
            </w:r>
          </w:p>
        </w:tc>
        <w:tc>
          <w:tcPr>
            <w:tcW w:w="3752" w:type="dxa"/>
            <w:shd w:val="clear" w:color="auto" w:fill="E2EFD9" w:themeFill="accent6" w:themeFillTint="33"/>
          </w:tcPr>
          <w:p w14:paraId="68B88854"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18BF0332" w14:textId="77777777" w:rsidTr="00576563">
        <w:tc>
          <w:tcPr>
            <w:tcW w:w="1730" w:type="dxa"/>
          </w:tcPr>
          <w:p w14:paraId="0801AE0B" w14:textId="4C18827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37E904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9728534" w14:textId="5D997726"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96D14AC"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FE4D03D" w14:textId="77777777" w:rsidTr="00576563">
        <w:tc>
          <w:tcPr>
            <w:tcW w:w="1730" w:type="dxa"/>
          </w:tcPr>
          <w:p w14:paraId="459CBCF1" w14:textId="6351C97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909509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5650E3D" w14:textId="00A4DAD0"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no additional comments on the legal text as we have been actively involved in the Working Group.</w:t>
            </w:r>
          </w:p>
        </w:tc>
        <w:tc>
          <w:tcPr>
            <w:tcW w:w="3752" w:type="dxa"/>
            <w:shd w:val="clear" w:color="auto" w:fill="E2EFD9" w:themeFill="accent6" w:themeFillTint="33"/>
          </w:tcPr>
          <w:p w14:paraId="70E0172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A9094F6" w14:textId="77777777" w:rsidTr="00576563">
        <w:tc>
          <w:tcPr>
            <w:tcW w:w="1730" w:type="dxa"/>
          </w:tcPr>
          <w:p w14:paraId="1C6E863C" w14:textId="53AA1FC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72069F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18EDF9C" w14:textId="0D1C5059"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 comments.</w:t>
            </w:r>
          </w:p>
        </w:tc>
        <w:tc>
          <w:tcPr>
            <w:tcW w:w="3752" w:type="dxa"/>
            <w:shd w:val="clear" w:color="auto" w:fill="E2EFD9" w:themeFill="accent6" w:themeFillTint="33"/>
          </w:tcPr>
          <w:p w14:paraId="31252F3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487ED3A" w14:textId="77777777" w:rsidTr="00A964B9">
        <w:tc>
          <w:tcPr>
            <w:tcW w:w="1730" w:type="dxa"/>
            <w:shd w:val="clear" w:color="auto" w:fill="D9D9D9" w:themeFill="background1" w:themeFillShade="D9"/>
          </w:tcPr>
          <w:p w14:paraId="2C066131" w14:textId="4092482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0BCB5432"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269A8E8" w14:textId="795B57AD"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A817C3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7544039" w14:textId="77777777" w:rsidTr="00576563">
        <w:tc>
          <w:tcPr>
            <w:tcW w:w="1730" w:type="dxa"/>
          </w:tcPr>
          <w:p w14:paraId="1A201B63" w14:textId="46E6A36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CC7536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40C00D"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proposed some amendments for the working group to consider which are appended to this response. We do not believe that the proposed amendments alter the intent.</w:t>
            </w:r>
          </w:p>
          <w:p w14:paraId="1D146B98" w14:textId="77777777" w:rsidR="00017234" w:rsidRPr="00332B53" w:rsidRDefault="00017234" w:rsidP="00017234">
            <w:pPr>
              <w:pStyle w:val="BodyText"/>
              <w:rPr>
                <w:rFonts w:asciiTheme="minorHAnsi" w:hAnsiTheme="minorHAnsi" w:cstheme="minorHAnsi"/>
                <w:bCs/>
                <w:sz w:val="22"/>
                <w:szCs w:val="22"/>
              </w:rPr>
            </w:pPr>
          </w:p>
          <w:p w14:paraId="65D82163" w14:textId="33707AE4" w:rsidR="004000B8"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In relation to paragraph 1.2, we consider that ‘network benefit’ should be defined as this is key to determining when a DNO/IDNO Party must offer a Curtailable Connection in line with the Access SCR Decision. We propose that the working group discusses with Ofgem’s its view of said benefit in deciding its policy intent.</w:t>
            </w:r>
          </w:p>
        </w:tc>
        <w:tc>
          <w:tcPr>
            <w:tcW w:w="3752" w:type="dxa"/>
            <w:shd w:val="clear" w:color="auto" w:fill="E2EFD9" w:themeFill="accent6" w:themeFillTint="33"/>
          </w:tcPr>
          <w:p w14:paraId="2F85B3EC"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EC699FD" w14:textId="77777777" w:rsidTr="00576563">
        <w:tc>
          <w:tcPr>
            <w:tcW w:w="1730" w:type="dxa"/>
          </w:tcPr>
          <w:p w14:paraId="4134C8EC" w14:textId="1916CEA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10CE2B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66296A5" w14:textId="7043BBF3" w:rsidR="004000B8" w:rsidRPr="00332B53" w:rsidRDefault="00104400"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F39FDB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DEBEF20" w14:textId="77777777" w:rsidTr="00576563">
        <w:tc>
          <w:tcPr>
            <w:tcW w:w="1730" w:type="dxa"/>
          </w:tcPr>
          <w:p w14:paraId="05F2D4FC" w14:textId="1B03A82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4FE18B6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AAEEA88" w14:textId="76AA7336"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436828A4"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1618AD7" w14:textId="77777777" w:rsidTr="00576563">
        <w:tc>
          <w:tcPr>
            <w:tcW w:w="1730" w:type="dxa"/>
          </w:tcPr>
          <w:p w14:paraId="174591CE" w14:textId="75BDCC54"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62F74C1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4303B9F" w14:textId="655CC4DF"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96C0DFE"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4143F427" w14:textId="77777777" w:rsidTr="00576563">
        <w:tc>
          <w:tcPr>
            <w:tcW w:w="1730" w:type="dxa"/>
          </w:tcPr>
          <w:p w14:paraId="65406F7F" w14:textId="0D54BA3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4024C8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73DC3E3" w14:textId="78856E08"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further comments</w:t>
            </w:r>
          </w:p>
        </w:tc>
        <w:tc>
          <w:tcPr>
            <w:tcW w:w="3752" w:type="dxa"/>
            <w:shd w:val="clear" w:color="auto" w:fill="E2EFD9" w:themeFill="accent6" w:themeFillTint="33"/>
          </w:tcPr>
          <w:p w14:paraId="379098D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111A42B" w14:textId="77777777" w:rsidTr="00576563">
        <w:tc>
          <w:tcPr>
            <w:tcW w:w="1730" w:type="dxa"/>
          </w:tcPr>
          <w:p w14:paraId="45DFA8A2" w14:textId="067881A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055366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B436F02"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made several suggestions for the amendment of the proposed legal text in our responses to various other questions.</w:t>
            </w:r>
          </w:p>
          <w:p w14:paraId="750673DE"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In addition, we have the following suggestions to aid clarity / understanding (as well as transparency) for all parties as to what, exactly, is meant by reference to a simple, illustrative, ‘worked’ example:</w:t>
            </w:r>
          </w:p>
          <w:p w14:paraId="13980B2E"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Flexibility Market Price determination</w:t>
            </w:r>
          </w:p>
          <w:p w14:paraId="4AF19D2E"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Para 6: From 01 April 2023, and then on the first of each April and October, the Company shall determine, and publish on its website, the maximum contracted utilisation price. The Flexibility Market Price shall be the highest of any Distribution Flexibility Services for contracts applicable to that Company in the current regulatory year and the two previous regulatory years. Thus, for example, the 1st April 2023 figure, shall be for 2023/24 and also 2022/23 and 2021/22 and likewise for the 1st October 2023 figure, it shall be for 2023/24 (updated for any contracts entered into since 1st April 2023 for 2023/24) and also 2022/23 and 2021/22. If the price is in £/MWh the Company shall convert to £/MVAh by dividing by an assumed [0.95] power factor.</w:t>
            </w:r>
          </w:p>
          <w:p w14:paraId="3227D3C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Curtailable Connection End Date</w:t>
            </w:r>
          </w:p>
          <w:p w14:paraId="3CF3C8D1"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a) We consider that para 7.3 should include a provision to ensure that distributors must inform Customers in a timely manner of their intent to move a Curtailment End Date.</w:t>
            </w:r>
          </w:p>
          <w:p w14:paraId="5014E84E" w14:textId="7C98F771" w:rsidR="004000B8" w:rsidRPr="00332B53" w:rsidRDefault="006760E3" w:rsidP="006760E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b) We would like to see a provision in the legal text which refers to how the Curtailable Connection End Date should be set. This should be in line with Ofgem’s decision, whereby they “consider that end dates should only consider wider, known developments. […] [Ofgem] therefore conclude that end dates should be clearly linked to the specific work required to deliver the user’s connection and any other known</w:t>
            </w:r>
            <w:r w:rsidRPr="00332B53">
              <w:rPr>
                <w:rFonts w:asciiTheme="minorHAnsi" w:hAnsiTheme="minorHAnsi" w:cstheme="minorHAnsi"/>
                <w:bCs/>
                <w:sz w:val="22"/>
                <w:szCs w:val="22"/>
                <w:lang w:val="en-GB"/>
              </w:rPr>
              <w:t xml:space="preserve"> or anticipated connections and wider demands in the area served by the network."</w:t>
            </w:r>
          </w:p>
        </w:tc>
        <w:tc>
          <w:tcPr>
            <w:tcW w:w="3752" w:type="dxa"/>
            <w:shd w:val="clear" w:color="auto" w:fill="E2EFD9" w:themeFill="accent6" w:themeFillTint="33"/>
          </w:tcPr>
          <w:p w14:paraId="4D20DED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E4D75AD" w14:textId="77777777" w:rsidTr="00576563">
        <w:tc>
          <w:tcPr>
            <w:tcW w:w="1730" w:type="dxa"/>
          </w:tcPr>
          <w:p w14:paraId="52FCE22B" w14:textId="5812F44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4A7D7B8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AF8BB6A" w14:textId="3AEF5AF6"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 further comments.</w:t>
            </w:r>
          </w:p>
        </w:tc>
        <w:tc>
          <w:tcPr>
            <w:tcW w:w="3752" w:type="dxa"/>
            <w:shd w:val="clear" w:color="auto" w:fill="E2EFD9" w:themeFill="accent6" w:themeFillTint="33"/>
          </w:tcPr>
          <w:p w14:paraId="433AB563"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9F41919" w14:textId="77777777" w:rsidTr="00576563">
        <w:tc>
          <w:tcPr>
            <w:tcW w:w="1730" w:type="dxa"/>
          </w:tcPr>
          <w:p w14:paraId="575C82BB" w14:textId="6A32375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310302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4A06CEF"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Our responses to some of the questions in this consultation would require changes to the legal text if addressed and/or adopted. Where possible we have tried to be clear what changes would be required within those responses.</w:t>
            </w:r>
          </w:p>
          <w:p w14:paraId="6F150BEE" w14:textId="697FBF53" w:rsidR="004000B8"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One final comment is we would like to include in the legal text a statement that allows for DNOs/IDNOs to provide additional curtailment assessments for the customer’s own benefit where applicable. These would be supplementary and would not supersede the curtailment limit. This point is particularly important to us as we are in the process of developing solutions to connections that are held off by transmission constraints and would like to provide customers with foresight on when transmission and distribution constraints might occur. We are aware customers will likely apply for a curtailable connection and would like to be able to provide alongside the </w:t>
            </w:r>
            <w:r w:rsidRPr="00332B53">
              <w:rPr>
                <w:rFonts w:asciiTheme="minorHAnsi" w:hAnsiTheme="minorHAnsi" w:cstheme="minorHAnsi"/>
                <w:bCs/>
                <w:sz w:val="22"/>
                <w:szCs w:val="22"/>
              </w:rPr>
              <w:lastRenderedPageBreak/>
              <w:t>curtailable connection an estimation of transmission constraints, despite not being liable for the curtailment due to these constraints.</w:t>
            </w:r>
          </w:p>
        </w:tc>
        <w:tc>
          <w:tcPr>
            <w:tcW w:w="3752" w:type="dxa"/>
            <w:shd w:val="clear" w:color="auto" w:fill="E2EFD9" w:themeFill="accent6" w:themeFillTint="33"/>
          </w:tcPr>
          <w:p w14:paraId="1577A4A5"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750C6711" w14:textId="77777777" w:rsidTr="00576563">
        <w:tc>
          <w:tcPr>
            <w:tcW w:w="1730" w:type="dxa"/>
          </w:tcPr>
          <w:p w14:paraId="21F2F04E" w14:textId="2382B00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FF99CE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043496" w14:textId="01576056" w:rsidR="004000B8" w:rsidRPr="00332B53" w:rsidRDefault="00E6467F"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A623809"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436F0312" w14:textId="77777777" w:rsidTr="00576563">
        <w:tc>
          <w:tcPr>
            <w:tcW w:w="14081" w:type="dxa"/>
            <w:gridSpan w:val="4"/>
            <w:shd w:val="clear" w:color="auto" w:fill="E2EFD9" w:themeFill="accent6" w:themeFillTint="33"/>
          </w:tcPr>
          <w:p w14:paraId="66180B1B"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32FB788C" w14:textId="0113A690" w:rsidR="00C9073D" w:rsidRDefault="00C9073D">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B408E" w:rsidRPr="007A0F4A" w14:paraId="3EB582FA"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15235FD" w14:textId="77777777" w:rsidR="009B408E" w:rsidRPr="007A0F4A" w:rsidRDefault="009B408E"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9EDF432" w14:textId="77777777" w:rsidR="009B408E" w:rsidRPr="007A0F4A" w:rsidRDefault="009B408E"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8BDC802" w14:textId="77777777" w:rsidR="009B408E" w:rsidRPr="007A0F4A" w:rsidRDefault="009B408E"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AE9DC9" w14:textId="403BF4B5" w:rsidR="009B408E" w:rsidRPr="009B408E" w:rsidRDefault="009B408E">
            <w:pPr>
              <w:pStyle w:val="BodyTextNoSpacing"/>
              <w:numPr>
                <w:ilvl w:val="0"/>
                <w:numId w:val="3"/>
              </w:numPr>
              <w:rPr>
                <w:rFonts w:asciiTheme="minorHAnsi" w:hAnsiTheme="minorHAnsi" w:cstheme="minorHAnsi"/>
                <w:bCs/>
                <w:sz w:val="22"/>
                <w:szCs w:val="22"/>
              </w:rPr>
            </w:pPr>
            <w:r w:rsidRPr="00FF6129">
              <w:t>Do you have a</w:t>
            </w:r>
            <w:proofErr w:type="spellStart"/>
            <w:r>
              <w:rPr>
                <w:lang w:val="en-GB"/>
              </w:rPr>
              <w:t>ny</w:t>
            </w:r>
            <w:proofErr w:type="spellEnd"/>
            <w:r>
              <w:rPr>
                <w:lang w:val="en-GB"/>
              </w:rPr>
              <w:t xml:space="preserve"> other comments on DCP 404?</w:t>
            </w:r>
          </w:p>
        </w:tc>
        <w:tc>
          <w:tcPr>
            <w:tcW w:w="3752" w:type="dxa"/>
            <w:shd w:val="clear" w:color="auto" w:fill="E2EFD9" w:themeFill="accent6" w:themeFillTint="33"/>
          </w:tcPr>
          <w:p w14:paraId="0CE8168B" w14:textId="77777777" w:rsidR="009B408E" w:rsidRPr="007A0F4A" w:rsidRDefault="009B408E"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6F0D4587" w14:textId="77777777" w:rsidTr="00576563">
        <w:tc>
          <w:tcPr>
            <w:tcW w:w="1730" w:type="dxa"/>
          </w:tcPr>
          <w:p w14:paraId="41D82266" w14:textId="6B31388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1BAC8942"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51A7986" w14:textId="714BA453"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3B4EDA3" w14:textId="77777777" w:rsidR="00895CE0" w:rsidRPr="00332B53" w:rsidRDefault="00895CE0" w:rsidP="00576563">
            <w:pPr>
              <w:pStyle w:val="BodyText"/>
              <w:rPr>
                <w:rFonts w:asciiTheme="minorHAnsi" w:hAnsiTheme="minorHAnsi" w:cstheme="minorHAnsi"/>
                <w:bCs/>
                <w:sz w:val="22"/>
                <w:szCs w:val="22"/>
              </w:rPr>
            </w:pPr>
          </w:p>
        </w:tc>
      </w:tr>
      <w:tr w:rsidR="004000B8" w:rsidRPr="00332B53" w14:paraId="60F2183D" w14:textId="77777777" w:rsidTr="00576563">
        <w:tc>
          <w:tcPr>
            <w:tcW w:w="1730" w:type="dxa"/>
          </w:tcPr>
          <w:p w14:paraId="02104825" w14:textId="127368C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5AC706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36226A0" w14:textId="096F2111"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770798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20AA95A" w14:textId="77777777" w:rsidTr="00576563">
        <w:tc>
          <w:tcPr>
            <w:tcW w:w="1730" w:type="dxa"/>
          </w:tcPr>
          <w:p w14:paraId="09EB487A" w14:textId="7086A5E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2482DB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0D89B6" w14:textId="7D510F85"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1068DD9E"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5BCD8DD" w14:textId="77777777" w:rsidTr="00576563">
        <w:tc>
          <w:tcPr>
            <w:tcW w:w="1730" w:type="dxa"/>
          </w:tcPr>
          <w:p w14:paraId="12D6CF09" w14:textId="789871E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5D137A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650F907" w14:textId="7B8E49D2"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 comments.</w:t>
            </w:r>
          </w:p>
        </w:tc>
        <w:tc>
          <w:tcPr>
            <w:tcW w:w="3752" w:type="dxa"/>
            <w:shd w:val="clear" w:color="auto" w:fill="E2EFD9" w:themeFill="accent6" w:themeFillTint="33"/>
          </w:tcPr>
          <w:p w14:paraId="7B6E68F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0C16D59" w14:textId="77777777" w:rsidTr="00A964B9">
        <w:tc>
          <w:tcPr>
            <w:tcW w:w="1730" w:type="dxa"/>
            <w:shd w:val="clear" w:color="auto" w:fill="D9D9D9" w:themeFill="background1" w:themeFillShade="D9"/>
          </w:tcPr>
          <w:p w14:paraId="610DDD68" w14:textId="0B57829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6BF3DBAF"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53FC0EA" w14:textId="67BCF23A"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9D879B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D1DA6CA" w14:textId="77777777" w:rsidTr="00576563">
        <w:tc>
          <w:tcPr>
            <w:tcW w:w="1730" w:type="dxa"/>
          </w:tcPr>
          <w:p w14:paraId="6B0AA468" w14:textId="373AA21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125223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435C4E5" w14:textId="12C546AA"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Not at this point in time.</w:t>
            </w:r>
          </w:p>
        </w:tc>
        <w:tc>
          <w:tcPr>
            <w:tcW w:w="3752" w:type="dxa"/>
            <w:shd w:val="clear" w:color="auto" w:fill="E2EFD9" w:themeFill="accent6" w:themeFillTint="33"/>
          </w:tcPr>
          <w:p w14:paraId="4DCF8492"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BCDAFB9" w14:textId="77777777" w:rsidTr="00576563">
        <w:tc>
          <w:tcPr>
            <w:tcW w:w="1730" w:type="dxa"/>
          </w:tcPr>
          <w:p w14:paraId="116FE50A" w14:textId="5F6848A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0CB25E0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1CE8252" w14:textId="7BCB8078" w:rsidR="004000B8" w:rsidRPr="00332B53" w:rsidRDefault="00104400"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5A6A51B7"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78FF96A" w14:textId="77777777" w:rsidTr="00576563">
        <w:tc>
          <w:tcPr>
            <w:tcW w:w="1730" w:type="dxa"/>
          </w:tcPr>
          <w:p w14:paraId="44B79DDC" w14:textId="3EB73C4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532FD16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80F824" w14:textId="3B2DF692"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would like to raise that the time allowed for this consultation, considering its importance and that it was issued during the holiday period, is too short. This gives limited opportunity for scrutiny of the change proposals, and risks the proposals not being subjected to adequate review.</w:t>
            </w:r>
          </w:p>
        </w:tc>
        <w:tc>
          <w:tcPr>
            <w:tcW w:w="3752" w:type="dxa"/>
            <w:shd w:val="clear" w:color="auto" w:fill="E2EFD9" w:themeFill="accent6" w:themeFillTint="33"/>
          </w:tcPr>
          <w:p w14:paraId="2ABC5EDC"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20F6458" w14:textId="77777777" w:rsidTr="00576563">
        <w:tc>
          <w:tcPr>
            <w:tcW w:w="1730" w:type="dxa"/>
          </w:tcPr>
          <w:p w14:paraId="546E784D" w14:textId="13CDA300"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D0A06C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4B1D95A" w14:textId="7777777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5EC3739" w14:textId="77777777" w:rsidR="004000B8" w:rsidRPr="00332B53" w:rsidRDefault="004000B8" w:rsidP="004000B8">
            <w:pPr>
              <w:pStyle w:val="BodyText"/>
              <w:rPr>
                <w:rFonts w:asciiTheme="minorHAnsi" w:hAnsiTheme="minorHAnsi" w:cstheme="minorHAnsi"/>
                <w:bCs/>
                <w:sz w:val="22"/>
                <w:szCs w:val="22"/>
                <w:lang w:val="en-GB"/>
              </w:rPr>
            </w:pPr>
          </w:p>
        </w:tc>
      </w:tr>
      <w:tr w:rsidR="004000B8" w:rsidRPr="00332B53" w14:paraId="536268D5" w14:textId="77777777" w:rsidTr="00576563">
        <w:tc>
          <w:tcPr>
            <w:tcW w:w="1730" w:type="dxa"/>
          </w:tcPr>
          <w:p w14:paraId="6558F929" w14:textId="52F2ED6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215B7D8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69156FB"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Levels of Curtailment:  </w:t>
            </w:r>
          </w:p>
          <w:p w14:paraId="00C2B0AE"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The measured / contracted level of curtailment may not reflect the true level of curtailment the customer experiences e.g. under N-1 or greater conditions, or due to transmission constraints.  Consideration should be given to how customers are best presented with information relating to the practical level of curtailment they are likely to experience.</w:t>
            </w:r>
          </w:p>
          <w:p w14:paraId="4800C05A" w14:textId="77777777" w:rsidR="000C6C27" w:rsidRPr="00332B53" w:rsidRDefault="000C6C27" w:rsidP="000C6C27">
            <w:pPr>
              <w:pStyle w:val="BodyText"/>
              <w:rPr>
                <w:rFonts w:asciiTheme="minorHAnsi" w:hAnsiTheme="minorHAnsi" w:cstheme="minorHAnsi"/>
                <w:bCs/>
                <w:sz w:val="22"/>
                <w:szCs w:val="22"/>
              </w:rPr>
            </w:pPr>
          </w:p>
          <w:p w14:paraId="5FE01EED"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Measurement of Curtailment:</w:t>
            </w:r>
          </w:p>
          <w:p w14:paraId="340F546C"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The process of measuring curtailment quarterly on a 12-month rolling basis will result in instances where multiple exceedance payments may need to be made in relation to the same curtailment event(s) – potentially up to 4 exceedance payments related to a single quarter. This becomes more prominent if the connection is located in a section of network that is affected by significant seasonal curtailment. We strongly recommend that consideration be given to performing curtailment exceedance calculations on a fixed annual basis or the payment calculation be adjusted accordingly. </w:t>
            </w:r>
          </w:p>
          <w:p w14:paraId="4B268368" w14:textId="77777777" w:rsidR="000C6C27" w:rsidRPr="00332B53" w:rsidRDefault="000C6C27" w:rsidP="000C6C27">
            <w:pPr>
              <w:pStyle w:val="BodyText"/>
              <w:rPr>
                <w:rFonts w:asciiTheme="minorHAnsi" w:hAnsiTheme="minorHAnsi" w:cstheme="minorHAnsi"/>
                <w:bCs/>
                <w:sz w:val="22"/>
                <w:szCs w:val="22"/>
              </w:rPr>
            </w:pPr>
          </w:p>
          <w:p w14:paraId="1F8C1442"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End Date: </w:t>
            </w:r>
          </w:p>
          <w:p w14:paraId="5BF1FBE5"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 xml:space="preserve">It is SPEN’s view allowance should be made for reviewing the End Date should the solution identified in the Connection Offer no longer represent a cost effective solution for UK customers. This scenario was reached in the South West of Scotland where the ESO determined that the reinforcement solution identified to allow all contracted generation to connect was evaluated as not being cost effective. The recommended solution was a lower capacity reinforcement alongside ongoing load management. In short it is our view that a full unconstrained connection for all connecting customers does not necessarily represent best value for all customers and should be an ongoing assessment. </w:t>
            </w:r>
          </w:p>
          <w:p w14:paraId="6D596AD0" w14:textId="77777777" w:rsidR="000C6C27" w:rsidRPr="00332B53" w:rsidRDefault="000C6C27" w:rsidP="000C6C27">
            <w:pPr>
              <w:pStyle w:val="BodyText"/>
              <w:rPr>
                <w:rFonts w:asciiTheme="minorHAnsi" w:hAnsiTheme="minorHAnsi" w:cstheme="minorHAnsi"/>
                <w:bCs/>
                <w:sz w:val="22"/>
                <w:szCs w:val="22"/>
              </w:rPr>
            </w:pPr>
          </w:p>
          <w:p w14:paraId="4DEC5407" w14:textId="1A63999D" w:rsidR="004000B8"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The legal text is not clear on whether an offer can be provided without an End Date (e.g. when the customer requests an enduring Curtailable Connection). Item 7.2 of the legal text states scenarios where the End Date shall be ‘void’, however we request that the text includes clarity on where a Curtailable Connection offer can be provided without an End Date.  </w:t>
            </w:r>
          </w:p>
        </w:tc>
        <w:tc>
          <w:tcPr>
            <w:tcW w:w="3752" w:type="dxa"/>
            <w:shd w:val="clear" w:color="auto" w:fill="E2EFD9" w:themeFill="accent6" w:themeFillTint="33"/>
          </w:tcPr>
          <w:p w14:paraId="7E606728"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294DC59" w14:textId="77777777" w:rsidTr="00576563">
        <w:tc>
          <w:tcPr>
            <w:tcW w:w="1730" w:type="dxa"/>
          </w:tcPr>
          <w:p w14:paraId="78A5AF19" w14:textId="4C8A36F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073B4DA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8006489"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The curtailment merit order</w:t>
            </w:r>
          </w:p>
          <w:p w14:paraId="221DCE30"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a. Whilst we recognise that the curtailment process itself is not in scope of Ofgem’s Direction, we would welcome clarity and expect transparency on the common methodology (to be applied consistently by all distributors) that distributors use to determine the curtailment merit order, and how that methodology ensures equity amongst their curtailable users (e.g. by rotation of the order from one event to the next).</w:t>
            </w:r>
          </w:p>
          <w:p w14:paraId="6C7BC8E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b. In that context, we note that the provision of Recital (5) of the CEP should apply (to that curtailment merit order), namely that: “Electricity from renewable sources from small power-generating facilities should be granted </w:t>
            </w:r>
            <w:r w:rsidRPr="00332B53">
              <w:rPr>
                <w:rFonts w:asciiTheme="minorHAnsi" w:hAnsiTheme="minorHAnsi" w:cstheme="minorHAnsi"/>
                <w:bCs/>
                <w:sz w:val="22"/>
                <w:szCs w:val="22"/>
              </w:rPr>
              <w:lastRenderedPageBreak/>
              <w:t>priority dispatch either via a specific priority order in the dispatching methodology or via legal or regulatory requirements for and market operators to provide this electricity on the market.”</w:t>
            </w:r>
          </w:p>
          <w:p w14:paraId="0E3E27F6" w14:textId="77777777" w:rsidR="004000B8"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c. For the avoidance of doubt, we consider that the curtailment merit order should include distributor sites in the same way as all other customer sites are treated.</w:t>
            </w:r>
          </w:p>
          <w:p w14:paraId="4F4D37E2"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d. We expect the distributors, collectively, to publish the common methodology for the curtailment merit order.</w:t>
            </w:r>
          </w:p>
          <w:p w14:paraId="6065C5A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2. Clarity on additional curtailment parameters In order to strengthen the benefits and transparency to network users of the change proposal, we would welcome an express requirement in the curtailable connection agreement to set out the parameters around curtailment, e.g. the timing of day, seasonal timing, duration, frequency etc.</w:t>
            </w:r>
          </w:p>
          <w:p w14:paraId="3B5D38E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3. Public reporting by distributors on their curtailment activities</w:t>
            </w:r>
          </w:p>
          <w:p w14:paraId="025C61C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individual customers will be receiving regular reports on their curtailment, as per section 4. of the proposed legal text. (Note that in our response to q. 10, we suggest various additions to those requirements.) We also note that in their Access decision document (at 2.49 and 4.52 in particular), Ofgem have committed to introducing reporting requirements through RIIO-ED2 on network operators to report on curtailment events and curtailment limit breaches. We look forward to seeing the detail of these requirements. We consider that public reporting of actual curtailment activities, in real time, by each distributor is essential for delivering the UK Government’s and Ofgem’s joint intent to improve the transparency of energy sector data (as per the work of the Energy Data Taskforce and the subsequent Modernising Energy Data programme) and the efficiency of energy markets.</w:t>
            </w:r>
          </w:p>
          <w:p w14:paraId="2D1F5500"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We consider that the public reporting requirements would be strengthened by being set out in the DCUSA as well as the RIIO-ED2 requirements. Setting out this transparency requirement right from the very start (in this proposal) ensures that from the moment when the IT systems are first being developed by distributors, that they incorporate transparency of this energy data at the very core of the system solutions. Delaying this until a later point in time runs the risk that transparency of data is (regrettably) overlooked right from the start.</w:t>
            </w:r>
          </w:p>
          <w:p w14:paraId="260CAEB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would expect the granularity of the reports to reflect the level of detail at which distributors gather the data, as per the customer reporting requirements set out in this proposal. We note that at transmission level, such information is already provided, in real time (or close to)2. In light of the work of the Energy Data Taskforce, we fully expect (and the Energy Data Taskforce requires) that the distributors justify why publication is not warranted in the case of distribution level.</w:t>
            </w:r>
          </w:p>
          <w:p w14:paraId="4F9707BB"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For the avoidance of doubt, in our view the real time publication of this information (at distribution and transmission levels) will provide the following benefits:</w:t>
            </w:r>
          </w:p>
          <w:p w14:paraId="701070B0"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Data Visibility: Understanding the data that exists, the data that is missing, which datasets are important, and making it easier to access and understand data.</w:t>
            </w:r>
          </w:p>
          <w:p w14:paraId="27ABA15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Infrastructure and Asset Visibility: Revealing system assets and infrastructure, where they are located and their capabilities, to inform system planning and management.</w:t>
            </w:r>
          </w:p>
          <w:p w14:paraId="23DF829B"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Operational Optimisation: Enabling operational data to be layered across the assets to support system optimisation and facilitating multiple actors to participate at all levels across the system.</w:t>
            </w:r>
          </w:p>
          <w:p w14:paraId="50A249A7"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 Open Markets: Achieving much better price discovery, through unlocking new markets, informed by time, location and service value data.</w:t>
            </w:r>
          </w:p>
          <w:p w14:paraId="7CF0613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Agile Regulation: Enabling regulators to adopt a much more agile and risk reflective approach to regulation of the sector, by giving them access to more and better data.</w:t>
            </w:r>
          </w:p>
          <w:p w14:paraId="091E544A" w14:textId="2CCF2545"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Over and above the transparency benefits that the Energy Data Taskforce has identified, we’d add that such public reporting would also improve efficiency of network use through network users having greater visibility of constrained areas, resulting in more efficient investment decision making (i.e. long-term decisions).</w:t>
            </w:r>
          </w:p>
        </w:tc>
        <w:tc>
          <w:tcPr>
            <w:tcW w:w="3752" w:type="dxa"/>
            <w:shd w:val="clear" w:color="auto" w:fill="E2EFD9" w:themeFill="accent6" w:themeFillTint="33"/>
          </w:tcPr>
          <w:p w14:paraId="6B9447D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5207135" w14:textId="77777777" w:rsidTr="00576563">
        <w:tc>
          <w:tcPr>
            <w:tcW w:w="1730" w:type="dxa"/>
          </w:tcPr>
          <w:p w14:paraId="609999DB" w14:textId="6D6ADA6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7FB05F5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C468551" w14:textId="18A2EB7A"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8753FE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0DEA5225" w14:textId="77777777" w:rsidTr="00576563">
        <w:tc>
          <w:tcPr>
            <w:tcW w:w="1730" w:type="dxa"/>
          </w:tcPr>
          <w:p w14:paraId="22FC15D5" w14:textId="374957E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3BDE573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BC55DE1" w14:textId="247F1278" w:rsidR="004000B8" w:rsidRPr="00332B53" w:rsidRDefault="00FC694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3DAF6CB6"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67AF3B4" w14:textId="77777777" w:rsidTr="00576563">
        <w:tc>
          <w:tcPr>
            <w:tcW w:w="1730" w:type="dxa"/>
          </w:tcPr>
          <w:p w14:paraId="13894742" w14:textId="13BDA1C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47F66C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697864F" w14:textId="6ED150CD" w:rsidR="004000B8" w:rsidRPr="00332B53" w:rsidRDefault="00E6467F"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E087B9D" w14:textId="77777777" w:rsidR="004000B8" w:rsidRPr="00332B53" w:rsidRDefault="004000B8" w:rsidP="004000B8">
            <w:pPr>
              <w:pStyle w:val="BodyText"/>
              <w:rPr>
                <w:rFonts w:asciiTheme="minorHAnsi" w:hAnsiTheme="minorHAnsi" w:cstheme="minorHAnsi"/>
                <w:bCs/>
                <w:sz w:val="22"/>
                <w:szCs w:val="22"/>
              </w:rPr>
            </w:pPr>
          </w:p>
        </w:tc>
      </w:tr>
      <w:tr w:rsidR="004000B8" w:rsidRPr="007A0F4A" w14:paraId="17E0DCDD" w14:textId="77777777" w:rsidTr="00576563">
        <w:tc>
          <w:tcPr>
            <w:tcW w:w="14081" w:type="dxa"/>
            <w:gridSpan w:val="4"/>
            <w:shd w:val="clear" w:color="auto" w:fill="E2EFD9" w:themeFill="accent6" w:themeFillTint="33"/>
          </w:tcPr>
          <w:p w14:paraId="05E406AD" w14:textId="77777777" w:rsidR="004000B8" w:rsidRPr="007A0F4A" w:rsidRDefault="004000B8" w:rsidP="004000B8">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9E996FC" w14:textId="77777777" w:rsidR="009B408E" w:rsidRPr="007A0F4A" w:rsidRDefault="009B408E">
      <w:pPr>
        <w:rPr>
          <w:rFonts w:cstheme="minorHAnsi"/>
          <w:bCs/>
        </w:rPr>
      </w:pPr>
    </w:p>
    <w:sectPr w:rsidR="009B408E" w:rsidRPr="007A0F4A" w:rsidSect="00131490">
      <w:head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2E0BE" w14:textId="77777777" w:rsidR="000700C6" w:rsidRDefault="000700C6" w:rsidP="005023A8">
      <w:pPr>
        <w:spacing w:after="0" w:line="240" w:lineRule="auto"/>
      </w:pPr>
      <w:r>
        <w:separator/>
      </w:r>
    </w:p>
  </w:endnote>
  <w:endnote w:type="continuationSeparator" w:id="0">
    <w:p w14:paraId="6C9DA586" w14:textId="77777777" w:rsidR="000700C6" w:rsidRDefault="000700C6"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C47F" w14:textId="77777777" w:rsidR="000700C6" w:rsidRDefault="000700C6" w:rsidP="005023A8">
      <w:pPr>
        <w:spacing w:after="0" w:line="240" w:lineRule="auto"/>
      </w:pPr>
      <w:r>
        <w:separator/>
      </w:r>
    </w:p>
  </w:footnote>
  <w:footnote w:type="continuationSeparator" w:id="0">
    <w:p w14:paraId="5BFB4C08" w14:textId="77777777" w:rsidR="000700C6" w:rsidRDefault="000700C6"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0CF" w14:textId="77777777" w:rsidR="00843F40" w:rsidRDefault="00912954" w:rsidP="00160FB4">
    <w:pPr>
      <w:pStyle w:val="Subtitle"/>
      <w:spacing w:line="360" w:lineRule="auto"/>
      <w:jc w:val="center"/>
      <w:rPr>
        <w:b/>
      </w:rPr>
    </w:pPr>
    <w:r w:rsidRPr="009343E3">
      <w:rPr>
        <w:b/>
      </w:rPr>
      <w:t xml:space="preserve">DCP </w:t>
    </w:r>
    <w:r w:rsidR="00260A9A">
      <w:rPr>
        <w:b/>
      </w:rPr>
      <w:t>404</w:t>
    </w:r>
    <w:r>
      <w:rPr>
        <w:b/>
      </w:rPr>
      <w:t xml:space="preserve"> ‘</w:t>
    </w:r>
    <w:r w:rsidR="0025707C">
      <w:rPr>
        <w:b/>
      </w:rPr>
      <w:t>Access SCR: Changes to Terms of Connection</w:t>
    </w:r>
    <w:r w:rsidR="00843F40">
      <w:rPr>
        <w:b/>
      </w:rPr>
      <w:t xml:space="preserve"> for Curtailable Customers</w:t>
    </w:r>
    <w:r w:rsidR="0025707C">
      <w:rPr>
        <w:b/>
      </w:rPr>
      <w:t>’</w:t>
    </w:r>
    <w:r w:rsidR="00C32F41" w:rsidRPr="00C32F41">
      <w:rPr>
        <w:b/>
      </w:rPr>
      <w:t xml:space="preserve"> </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A31DD2"/>
    <w:multiLevelType w:val="hybridMultilevel"/>
    <w:tmpl w:val="D43EF254"/>
    <w:lvl w:ilvl="0" w:tplc="5A30493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4"/>
  </w:num>
  <w:num w:numId="3" w16cid:durableId="148450397">
    <w:abstractNumId w:val="3"/>
  </w:num>
  <w:num w:numId="4" w16cid:durableId="532497092">
    <w:abstractNumId w:val="5"/>
  </w:num>
  <w:num w:numId="5" w16cid:durableId="386488825">
    <w:abstractNumId w:val="2"/>
  </w:num>
  <w:num w:numId="6" w16cid:durableId="30069603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753B"/>
    <w:rsid w:val="00007C5C"/>
    <w:rsid w:val="0001379F"/>
    <w:rsid w:val="0001439E"/>
    <w:rsid w:val="00014CF9"/>
    <w:rsid w:val="00017234"/>
    <w:rsid w:val="00021093"/>
    <w:rsid w:val="00021499"/>
    <w:rsid w:val="00023351"/>
    <w:rsid w:val="0002514A"/>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700C6"/>
    <w:rsid w:val="000710B0"/>
    <w:rsid w:val="00074022"/>
    <w:rsid w:val="000767D1"/>
    <w:rsid w:val="00083E76"/>
    <w:rsid w:val="00086A68"/>
    <w:rsid w:val="00090D10"/>
    <w:rsid w:val="00091CFC"/>
    <w:rsid w:val="0009221C"/>
    <w:rsid w:val="000A4633"/>
    <w:rsid w:val="000A5527"/>
    <w:rsid w:val="000A7CCF"/>
    <w:rsid w:val="000A7CE8"/>
    <w:rsid w:val="000B34E5"/>
    <w:rsid w:val="000B48B1"/>
    <w:rsid w:val="000B5ABC"/>
    <w:rsid w:val="000C1AA2"/>
    <w:rsid w:val="000C4CB4"/>
    <w:rsid w:val="000C5CF9"/>
    <w:rsid w:val="000C6C27"/>
    <w:rsid w:val="000C7D95"/>
    <w:rsid w:val="000D1450"/>
    <w:rsid w:val="000D5D10"/>
    <w:rsid w:val="000E134B"/>
    <w:rsid w:val="000E4723"/>
    <w:rsid w:val="000F5BD2"/>
    <w:rsid w:val="000F6EDD"/>
    <w:rsid w:val="00104400"/>
    <w:rsid w:val="001071D6"/>
    <w:rsid w:val="00110BDB"/>
    <w:rsid w:val="00114979"/>
    <w:rsid w:val="001206AF"/>
    <w:rsid w:val="00121B96"/>
    <w:rsid w:val="00131490"/>
    <w:rsid w:val="00133996"/>
    <w:rsid w:val="00140B39"/>
    <w:rsid w:val="00143B75"/>
    <w:rsid w:val="00146634"/>
    <w:rsid w:val="0015252B"/>
    <w:rsid w:val="0015638A"/>
    <w:rsid w:val="001578E9"/>
    <w:rsid w:val="00160FB4"/>
    <w:rsid w:val="001618FC"/>
    <w:rsid w:val="00166D55"/>
    <w:rsid w:val="00173A42"/>
    <w:rsid w:val="001776A6"/>
    <w:rsid w:val="00180279"/>
    <w:rsid w:val="001802AD"/>
    <w:rsid w:val="00180C23"/>
    <w:rsid w:val="00182DC4"/>
    <w:rsid w:val="001847B8"/>
    <w:rsid w:val="00191451"/>
    <w:rsid w:val="001929B0"/>
    <w:rsid w:val="001935EF"/>
    <w:rsid w:val="0019512B"/>
    <w:rsid w:val="001A138C"/>
    <w:rsid w:val="001A1CF6"/>
    <w:rsid w:val="001A678B"/>
    <w:rsid w:val="001A6931"/>
    <w:rsid w:val="001A78AB"/>
    <w:rsid w:val="001A7DAF"/>
    <w:rsid w:val="001B194B"/>
    <w:rsid w:val="001B6162"/>
    <w:rsid w:val="001B66BF"/>
    <w:rsid w:val="001B66C8"/>
    <w:rsid w:val="001C12C3"/>
    <w:rsid w:val="001C3AE1"/>
    <w:rsid w:val="001C70BC"/>
    <w:rsid w:val="001C7254"/>
    <w:rsid w:val="001D1626"/>
    <w:rsid w:val="001D65AD"/>
    <w:rsid w:val="001D782E"/>
    <w:rsid w:val="001D78D0"/>
    <w:rsid w:val="001F04DA"/>
    <w:rsid w:val="001F67DB"/>
    <w:rsid w:val="002015EA"/>
    <w:rsid w:val="002113D6"/>
    <w:rsid w:val="0021338B"/>
    <w:rsid w:val="00216695"/>
    <w:rsid w:val="00233A42"/>
    <w:rsid w:val="00236B5E"/>
    <w:rsid w:val="00237DD6"/>
    <w:rsid w:val="00240BD0"/>
    <w:rsid w:val="00242C9E"/>
    <w:rsid w:val="00246058"/>
    <w:rsid w:val="00250533"/>
    <w:rsid w:val="0025707C"/>
    <w:rsid w:val="0026089F"/>
    <w:rsid w:val="00260A9A"/>
    <w:rsid w:val="00267BF3"/>
    <w:rsid w:val="00267FD2"/>
    <w:rsid w:val="0027114F"/>
    <w:rsid w:val="002723A8"/>
    <w:rsid w:val="0028176E"/>
    <w:rsid w:val="00281FFC"/>
    <w:rsid w:val="00286FAD"/>
    <w:rsid w:val="002971D3"/>
    <w:rsid w:val="00297C56"/>
    <w:rsid w:val="002A13DB"/>
    <w:rsid w:val="002A1660"/>
    <w:rsid w:val="002A407C"/>
    <w:rsid w:val="002A54B5"/>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3015A9"/>
    <w:rsid w:val="00303084"/>
    <w:rsid w:val="00304FD6"/>
    <w:rsid w:val="00310E28"/>
    <w:rsid w:val="00315E08"/>
    <w:rsid w:val="003172E8"/>
    <w:rsid w:val="00321C0F"/>
    <w:rsid w:val="003233BA"/>
    <w:rsid w:val="00323D85"/>
    <w:rsid w:val="003273EA"/>
    <w:rsid w:val="00332597"/>
    <w:rsid w:val="00332B53"/>
    <w:rsid w:val="00334043"/>
    <w:rsid w:val="003344EB"/>
    <w:rsid w:val="0033759F"/>
    <w:rsid w:val="00340F16"/>
    <w:rsid w:val="003527EF"/>
    <w:rsid w:val="00352C2B"/>
    <w:rsid w:val="0035368A"/>
    <w:rsid w:val="00355220"/>
    <w:rsid w:val="003554F1"/>
    <w:rsid w:val="00356ADD"/>
    <w:rsid w:val="00365969"/>
    <w:rsid w:val="0036659E"/>
    <w:rsid w:val="00366A82"/>
    <w:rsid w:val="00367C2B"/>
    <w:rsid w:val="00374125"/>
    <w:rsid w:val="0037548A"/>
    <w:rsid w:val="0038090F"/>
    <w:rsid w:val="00380B73"/>
    <w:rsid w:val="003823C9"/>
    <w:rsid w:val="00385AD9"/>
    <w:rsid w:val="003918B1"/>
    <w:rsid w:val="00397672"/>
    <w:rsid w:val="003A3C09"/>
    <w:rsid w:val="003A569C"/>
    <w:rsid w:val="003A7D86"/>
    <w:rsid w:val="003B4D24"/>
    <w:rsid w:val="003B6F54"/>
    <w:rsid w:val="003C462C"/>
    <w:rsid w:val="003D07F6"/>
    <w:rsid w:val="003D1008"/>
    <w:rsid w:val="003D1E71"/>
    <w:rsid w:val="003D22CA"/>
    <w:rsid w:val="003D6BB5"/>
    <w:rsid w:val="003E0E82"/>
    <w:rsid w:val="003E3A84"/>
    <w:rsid w:val="003E3F7E"/>
    <w:rsid w:val="003E4289"/>
    <w:rsid w:val="003E4E46"/>
    <w:rsid w:val="003E673F"/>
    <w:rsid w:val="003F1192"/>
    <w:rsid w:val="003F4EDF"/>
    <w:rsid w:val="003F77E3"/>
    <w:rsid w:val="004000B8"/>
    <w:rsid w:val="0040025A"/>
    <w:rsid w:val="004025AE"/>
    <w:rsid w:val="00402E71"/>
    <w:rsid w:val="0040552A"/>
    <w:rsid w:val="0040666B"/>
    <w:rsid w:val="00412AB6"/>
    <w:rsid w:val="00415599"/>
    <w:rsid w:val="00421520"/>
    <w:rsid w:val="004316DF"/>
    <w:rsid w:val="00445384"/>
    <w:rsid w:val="0044640F"/>
    <w:rsid w:val="00446BBD"/>
    <w:rsid w:val="0045217F"/>
    <w:rsid w:val="004523A1"/>
    <w:rsid w:val="0045346D"/>
    <w:rsid w:val="00457739"/>
    <w:rsid w:val="00463920"/>
    <w:rsid w:val="00464001"/>
    <w:rsid w:val="00465B75"/>
    <w:rsid w:val="004823B3"/>
    <w:rsid w:val="0048497A"/>
    <w:rsid w:val="004856D9"/>
    <w:rsid w:val="004864D5"/>
    <w:rsid w:val="004875D5"/>
    <w:rsid w:val="0049592D"/>
    <w:rsid w:val="004A049A"/>
    <w:rsid w:val="004A1D55"/>
    <w:rsid w:val="004A5A95"/>
    <w:rsid w:val="004C1C50"/>
    <w:rsid w:val="004C1FF3"/>
    <w:rsid w:val="004D20C9"/>
    <w:rsid w:val="004D39DE"/>
    <w:rsid w:val="004E1EAC"/>
    <w:rsid w:val="004E2ABF"/>
    <w:rsid w:val="004E2EA9"/>
    <w:rsid w:val="004F132A"/>
    <w:rsid w:val="004F244A"/>
    <w:rsid w:val="004F263A"/>
    <w:rsid w:val="004F57B0"/>
    <w:rsid w:val="004F7F62"/>
    <w:rsid w:val="00500BB2"/>
    <w:rsid w:val="005023A8"/>
    <w:rsid w:val="00502B7E"/>
    <w:rsid w:val="0050483E"/>
    <w:rsid w:val="00504DE7"/>
    <w:rsid w:val="005058DC"/>
    <w:rsid w:val="00507813"/>
    <w:rsid w:val="00510044"/>
    <w:rsid w:val="0051227C"/>
    <w:rsid w:val="00512D0A"/>
    <w:rsid w:val="005246F1"/>
    <w:rsid w:val="0052751C"/>
    <w:rsid w:val="0053268D"/>
    <w:rsid w:val="00532FE5"/>
    <w:rsid w:val="005361BA"/>
    <w:rsid w:val="005372B2"/>
    <w:rsid w:val="00537DAF"/>
    <w:rsid w:val="00540030"/>
    <w:rsid w:val="0054319C"/>
    <w:rsid w:val="0054343C"/>
    <w:rsid w:val="00545EB6"/>
    <w:rsid w:val="0055429F"/>
    <w:rsid w:val="005563EC"/>
    <w:rsid w:val="00565F31"/>
    <w:rsid w:val="00566911"/>
    <w:rsid w:val="00570A6E"/>
    <w:rsid w:val="00570B46"/>
    <w:rsid w:val="00573E11"/>
    <w:rsid w:val="0057408F"/>
    <w:rsid w:val="00574C5A"/>
    <w:rsid w:val="00574FE9"/>
    <w:rsid w:val="00575BCE"/>
    <w:rsid w:val="00577164"/>
    <w:rsid w:val="00581649"/>
    <w:rsid w:val="00586EE9"/>
    <w:rsid w:val="00587EFE"/>
    <w:rsid w:val="0059229D"/>
    <w:rsid w:val="00595E92"/>
    <w:rsid w:val="00597365"/>
    <w:rsid w:val="005A40EE"/>
    <w:rsid w:val="005A4582"/>
    <w:rsid w:val="005B4F1F"/>
    <w:rsid w:val="005C2F91"/>
    <w:rsid w:val="005D1A34"/>
    <w:rsid w:val="005D1F5A"/>
    <w:rsid w:val="005D3646"/>
    <w:rsid w:val="005E015D"/>
    <w:rsid w:val="005E07F8"/>
    <w:rsid w:val="005E1E4C"/>
    <w:rsid w:val="005E29CF"/>
    <w:rsid w:val="005E32D2"/>
    <w:rsid w:val="005E3506"/>
    <w:rsid w:val="005F3FF9"/>
    <w:rsid w:val="00602DA6"/>
    <w:rsid w:val="00611D14"/>
    <w:rsid w:val="0061280A"/>
    <w:rsid w:val="00614B7D"/>
    <w:rsid w:val="00615743"/>
    <w:rsid w:val="00621F0D"/>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7048C"/>
    <w:rsid w:val="006709E4"/>
    <w:rsid w:val="0067497B"/>
    <w:rsid w:val="00676048"/>
    <w:rsid w:val="006760E3"/>
    <w:rsid w:val="00680435"/>
    <w:rsid w:val="006817B8"/>
    <w:rsid w:val="00690B8C"/>
    <w:rsid w:val="00692A27"/>
    <w:rsid w:val="006946D4"/>
    <w:rsid w:val="0069605D"/>
    <w:rsid w:val="0069645E"/>
    <w:rsid w:val="006A253A"/>
    <w:rsid w:val="006A3D99"/>
    <w:rsid w:val="006B0D07"/>
    <w:rsid w:val="006C624A"/>
    <w:rsid w:val="006D0260"/>
    <w:rsid w:val="006D4CC7"/>
    <w:rsid w:val="006E6EAE"/>
    <w:rsid w:val="006F12CF"/>
    <w:rsid w:val="007015A5"/>
    <w:rsid w:val="007039F2"/>
    <w:rsid w:val="0070425A"/>
    <w:rsid w:val="007137B1"/>
    <w:rsid w:val="00722FAA"/>
    <w:rsid w:val="007230BD"/>
    <w:rsid w:val="00725D44"/>
    <w:rsid w:val="0073670E"/>
    <w:rsid w:val="00736873"/>
    <w:rsid w:val="00745814"/>
    <w:rsid w:val="00746849"/>
    <w:rsid w:val="00747735"/>
    <w:rsid w:val="00751B51"/>
    <w:rsid w:val="0076000A"/>
    <w:rsid w:val="00760330"/>
    <w:rsid w:val="00763D43"/>
    <w:rsid w:val="007708FB"/>
    <w:rsid w:val="007710B8"/>
    <w:rsid w:val="00771C97"/>
    <w:rsid w:val="007722B2"/>
    <w:rsid w:val="00776AE5"/>
    <w:rsid w:val="007852D1"/>
    <w:rsid w:val="00791DDC"/>
    <w:rsid w:val="00795832"/>
    <w:rsid w:val="0079611C"/>
    <w:rsid w:val="00797212"/>
    <w:rsid w:val="00797F09"/>
    <w:rsid w:val="007A0F4A"/>
    <w:rsid w:val="007A63CA"/>
    <w:rsid w:val="007B4C44"/>
    <w:rsid w:val="007B6346"/>
    <w:rsid w:val="007C047A"/>
    <w:rsid w:val="007C19E5"/>
    <w:rsid w:val="007E1FEA"/>
    <w:rsid w:val="007E387F"/>
    <w:rsid w:val="007E4A43"/>
    <w:rsid w:val="007F08D3"/>
    <w:rsid w:val="007F0B1E"/>
    <w:rsid w:val="007F1D19"/>
    <w:rsid w:val="007F3C00"/>
    <w:rsid w:val="007F7CA3"/>
    <w:rsid w:val="00811BA4"/>
    <w:rsid w:val="00816033"/>
    <w:rsid w:val="00816BB3"/>
    <w:rsid w:val="00817A0B"/>
    <w:rsid w:val="00823216"/>
    <w:rsid w:val="00825356"/>
    <w:rsid w:val="00827155"/>
    <w:rsid w:val="0083708D"/>
    <w:rsid w:val="00837728"/>
    <w:rsid w:val="00837A4E"/>
    <w:rsid w:val="00841498"/>
    <w:rsid w:val="00843F40"/>
    <w:rsid w:val="008536ED"/>
    <w:rsid w:val="008551DC"/>
    <w:rsid w:val="008562B1"/>
    <w:rsid w:val="0086240C"/>
    <w:rsid w:val="00866106"/>
    <w:rsid w:val="00866DEA"/>
    <w:rsid w:val="00870103"/>
    <w:rsid w:val="008762CD"/>
    <w:rsid w:val="00883280"/>
    <w:rsid w:val="008852B2"/>
    <w:rsid w:val="0088594A"/>
    <w:rsid w:val="00895AE9"/>
    <w:rsid w:val="00895CE0"/>
    <w:rsid w:val="008A3BB7"/>
    <w:rsid w:val="008B49E8"/>
    <w:rsid w:val="008B50CC"/>
    <w:rsid w:val="008C3825"/>
    <w:rsid w:val="008C7B7D"/>
    <w:rsid w:val="008D2B3F"/>
    <w:rsid w:val="008D514B"/>
    <w:rsid w:val="008E238A"/>
    <w:rsid w:val="008E35FE"/>
    <w:rsid w:val="008F0738"/>
    <w:rsid w:val="008F226F"/>
    <w:rsid w:val="008F33AB"/>
    <w:rsid w:val="008F6503"/>
    <w:rsid w:val="00901C2D"/>
    <w:rsid w:val="00901E8B"/>
    <w:rsid w:val="009024D7"/>
    <w:rsid w:val="00902B46"/>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37DA"/>
    <w:rsid w:val="00945FBE"/>
    <w:rsid w:val="00947408"/>
    <w:rsid w:val="009548DA"/>
    <w:rsid w:val="00960565"/>
    <w:rsid w:val="009606BA"/>
    <w:rsid w:val="00960BBB"/>
    <w:rsid w:val="00961EDD"/>
    <w:rsid w:val="0097605B"/>
    <w:rsid w:val="00991273"/>
    <w:rsid w:val="00993951"/>
    <w:rsid w:val="00995C16"/>
    <w:rsid w:val="009A091D"/>
    <w:rsid w:val="009A2B02"/>
    <w:rsid w:val="009A6675"/>
    <w:rsid w:val="009B2545"/>
    <w:rsid w:val="009B408E"/>
    <w:rsid w:val="009B4DD0"/>
    <w:rsid w:val="009C5F49"/>
    <w:rsid w:val="009D1280"/>
    <w:rsid w:val="009D6F07"/>
    <w:rsid w:val="009E70E3"/>
    <w:rsid w:val="009E7CC9"/>
    <w:rsid w:val="009F04E9"/>
    <w:rsid w:val="009F0E52"/>
    <w:rsid w:val="009F31B0"/>
    <w:rsid w:val="009F389E"/>
    <w:rsid w:val="009F743E"/>
    <w:rsid w:val="00A00DAF"/>
    <w:rsid w:val="00A00FFD"/>
    <w:rsid w:val="00A05909"/>
    <w:rsid w:val="00A118E1"/>
    <w:rsid w:val="00A23624"/>
    <w:rsid w:val="00A301B2"/>
    <w:rsid w:val="00A305BE"/>
    <w:rsid w:val="00A35A30"/>
    <w:rsid w:val="00A4079D"/>
    <w:rsid w:val="00A4243A"/>
    <w:rsid w:val="00A44C05"/>
    <w:rsid w:val="00A467A4"/>
    <w:rsid w:val="00A508FC"/>
    <w:rsid w:val="00A538D9"/>
    <w:rsid w:val="00A53EA7"/>
    <w:rsid w:val="00A577A0"/>
    <w:rsid w:val="00A6426E"/>
    <w:rsid w:val="00A65038"/>
    <w:rsid w:val="00A651ED"/>
    <w:rsid w:val="00A674EA"/>
    <w:rsid w:val="00A75969"/>
    <w:rsid w:val="00A759B6"/>
    <w:rsid w:val="00A77905"/>
    <w:rsid w:val="00A845BA"/>
    <w:rsid w:val="00A90D7C"/>
    <w:rsid w:val="00A95189"/>
    <w:rsid w:val="00A9591F"/>
    <w:rsid w:val="00A964B9"/>
    <w:rsid w:val="00AA4A10"/>
    <w:rsid w:val="00AA5458"/>
    <w:rsid w:val="00AA7065"/>
    <w:rsid w:val="00AB056C"/>
    <w:rsid w:val="00AB110E"/>
    <w:rsid w:val="00AB3BD6"/>
    <w:rsid w:val="00AB526A"/>
    <w:rsid w:val="00AB6B42"/>
    <w:rsid w:val="00AB6E92"/>
    <w:rsid w:val="00AB7F80"/>
    <w:rsid w:val="00AC0C69"/>
    <w:rsid w:val="00AC7D75"/>
    <w:rsid w:val="00AD2481"/>
    <w:rsid w:val="00AD3504"/>
    <w:rsid w:val="00AD7043"/>
    <w:rsid w:val="00AE0AD5"/>
    <w:rsid w:val="00AE47CA"/>
    <w:rsid w:val="00AE5712"/>
    <w:rsid w:val="00AE65B2"/>
    <w:rsid w:val="00AF06B1"/>
    <w:rsid w:val="00AF202F"/>
    <w:rsid w:val="00AF29E0"/>
    <w:rsid w:val="00AF3C38"/>
    <w:rsid w:val="00AF4653"/>
    <w:rsid w:val="00AF4CE2"/>
    <w:rsid w:val="00AF614B"/>
    <w:rsid w:val="00AF7B0B"/>
    <w:rsid w:val="00B02287"/>
    <w:rsid w:val="00B022E7"/>
    <w:rsid w:val="00B02D0A"/>
    <w:rsid w:val="00B103B0"/>
    <w:rsid w:val="00B105CC"/>
    <w:rsid w:val="00B116B3"/>
    <w:rsid w:val="00B14882"/>
    <w:rsid w:val="00B16A31"/>
    <w:rsid w:val="00B24314"/>
    <w:rsid w:val="00B3293A"/>
    <w:rsid w:val="00B3450D"/>
    <w:rsid w:val="00B4048B"/>
    <w:rsid w:val="00B45090"/>
    <w:rsid w:val="00B53F02"/>
    <w:rsid w:val="00B54A14"/>
    <w:rsid w:val="00B601E2"/>
    <w:rsid w:val="00B60566"/>
    <w:rsid w:val="00B6191D"/>
    <w:rsid w:val="00B635E6"/>
    <w:rsid w:val="00B75FFE"/>
    <w:rsid w:val="00B806BC"/>
    <w:rsid w:val="00B826A4"/>
    <w:rsid w:val="00B86115"/>
    <w:rsid w:val="00B97D75"/>
    <w:rsid w:val="00BA26F9"/>
    <w:rsid w:val="00BA2D17"/>
    <w:rsid w:val="00BA4E25"/>
    <w:rsid w:val="00BA51DD"/>
    <w:rsid w:val="00BA6BBF"/>
    <w:rsid w:val="00BA6BFC"/>
    <w:rsid w:val="00BA7A18"/>
    <w:rsid w:val="00BC556E"/>
    <w:rsid w:val="00BC57D8"/>
    <w:rsid w:val="00BC7B27"/>
    <w:rsid w:val="00BD0721"/>
    <w:rsid w:val="00BD53B1"/>
    <w:rsid w:val="00BD59EB"/>
    <w:rsid w:val="00BF4A4A"/>
    <w:rsid w:val="00BF7D4F"/>
    <w:rsid w:val="00C03DB8"/>
    <w:rsid w:val="00C04A1F"/>
    <w:rsid w:val="00C04BB2"/>
    <w:rsid w:val="00C07E70"/>
    <w:rsid w:val="00C10852"/>
    <w:rsid w:val="00C10F77"/>
    <w:rsid w:val="00C1447F"/>
    <w:rsid w:val="00C14E43"/>
    <w:rsid w:val="00C177B7"/>
    <w:rsid w:val="00C229B5"/>
    <w:rsid w:val="00C2470D"/>
    <w:rsid w:val="00C2613C"/>
    <w:rsid w:val="00C314BA"/>
    <w:rsid w:val="00C32F41"/>
    <w:rsid w:val="00C332EB"/>
    <w:rsid w:val="00C45776"/>
    <w:rsid w:val="00C45ACB"/>
    <w:rsid w:val="00C53AF3"/>
    <w:rsid w:val="00C556D3"/>
    <w:rsid w:val="00C55D4A"/>
    <w:rsid w:val="00C603CF"/>
    <w:rsid w:val="00C6251F"/>
    <w:rsid w:val="00C64278"/>
    <w:rsid w:val="00C64C9D"/>
    <w:rsid w:val="00C65702"/>
    <w:rsid w:val="00C66D82"/>
    <w:rsid w:val="00C7088D"/>
    <w:rsid w:val="00C81848"/>
    <w:rsid w:val="00C81D94"/>
    <w:rsid w:val="00C82344"/>
    <w:rsid w:val="00C82C00"/>
    <w:rsid w:val="00C82F99"/>
    <w:rsid w:val="00C8545C"/>
    <w:rsid w:val="00C905B5"/>
    <w:rsid w:val="00C9073D"/>
    <w:rsid w:val="00C928E8"/>
    <w:rsid w:val="00C931C1"/>
    <w:rsid w:val="00C93BDB"/>
    <w:rsid w:val="00C950BA"/>
    <w:rsid w:val="00CA0D38"/>
    <w:rsid w:val="00CA210B"/>
    <w:rsid w:val="00CA2EDE"/>
    <w:rsid w:val="00CA583E"/>
    <w:rsid w:val="00CA5B71"/>
    <w:rsid w:val="00CB4B4A"/>
    <w:rsid w:val="00CB5795"/>
    <w:rsid w:val="00CB6552"/>
    <w:rsid w:val="00CB6B1C"/>
    <w:rsid w:val="00CC033F"/>
    <w:rsid w:val="00CC23C1"/>
    <w:rsid w:val="00CC3B21"/>
    <w:rsid w:val="00CD277D"/>
    <w:rsid w:val="00CD3B2D"/>
    <w:rsid w:val="00CE217C"/>
    <w:rsid w:val="00CE2F02"/>
    <w:rsid w:val="00CE57A7"/>
    <w:rsid w:val="00CE6D8F"/>
    <w:rsid w:val="00CF0151"/>
    <w:rsid w:val="00CF0431"/>
    <w:rsid w:val="00CF7E6E"/>
    <w:rsid w:val="00D001D4"/>
    <w:rsid w:val="00D009DF"/>
    <w:rsid w:val="00D07963"/>
    <w:rsid w:val="00D07E32"/>
    <w:rsid w:val="00D14EFE"/>
    <w:rsid w:val="00D169F1"/>
    <w:rsid w:val="00D172F2"/>
    <w:rsid w:val="00D17702"/>
    <w:rsid w:val="00D21AAD"/>
    <w:rsid w:val="00D22FC9"/>
    <w:rsid w:val="00D36912"/>
    <w:rsid w:val="00D46C8F"/>
    <w:rsid w:val="00D46F58"/>
    <w:rsid w:val="00D47889"/>
    <w:rsid w:val="00D52033"/>
    <w:rsid w:val="00D53AEF"/>
    <w:rsid w:val="00D57051"/>
    <w:rsid w:val="00D6353B"/>
    <w:rsid w:val="00D71A64"/>
    <w:rsid w:val="00D8124B"/>
    <w:rsid w:val="00D964DD"/>
    <w:rsid w:val="00D9781D"/>
    <w:rsid w:val="00DA1B9E"/>
    <w:rsid w:val="00DA3407"/>
    <w:rsid w:val="00DA39CA"/>
    <w:rsid w:val="00DA6E96"/>
    <w:rsid w:val="00DB2A9D"/>
    <w:rsid w:val="00DB7B46"/>
    <w:rsid w:val="00DC4204"/>
    <w:rsid w:val="00DC78E6"/>
    <w:rsid w:val="00DD0C72"/>
    <w:rsid w:val="00DD13ED"/>
    <w:rsid w:val="00DD262A"/>
    <w:rsid w:val="00DD28A0"/>
    <w:rsid w:val="00DE0286"/>
    <w:rsid w:val="00DE0D10"/>
    <w:rsid w:val="00DE1A25"/>
    <w:rsid w:val="00DF17D3"/>
    <w:rsid w:val="00DF4D3C"/>
    <w:rsid w:val="00DF5447"/>
    <w:rsid w:val="00E02012"/>
    <w:rsid w:val="00E0267B"/>
    <w:rsid w:val="00E0291E"/>
    <w:rsid w:val="00E06E2E"/>
    <w:rsid w:val="00E1103F"/>
    <w:rsid w:val="00E23C2B"/>
    <w:rsid w:val="00E25A06"/>
    <w:rsid w:val="00E36A2A"/>
    <w:rsid w:val="00E423D4"/>
    <w:rsid w:val="00E42D3E"/>
    <w:rsid w:val="00E468CE"/>
    <w:rsid w:val="00E47544"/>
    <w:rsid w:val="00E51445"/>
    <w:rsid w:val="00E56EB3"/>
    <w:rsid w:val="00E5796B"/>
    <w:rsid w:val="00E63322"/>
    <w:rsid w:val="00E6467F"/>
    <w:rsid w:val="00E647E1"/>
    <w:rsid w:val="00E7125C"/>
    <w:rsid w:val="00E73125"/>
    <w:rsid w:val="00E74530"/>
    <w:rsid w:val="00E74EB0"/>
    <w:rsid w:val="00E760ED"/>
    <w:rsid w:val="00E764FC"/>
    <w:rsid w:val="00E77E81"/>
    <w:rsid w:val="00E80309"/>
    <w:rsid w:val="00E820F4"/>
    <w:rsid w:val="00E86B5E"/>
    <w:rsid w:val="00E95710"/>
    <w:rsid w:val="00E960B9"/>
    <w:rsid w:val="00E97531"/>
    <w:rsid w:val="00EA1285"/>
    <w:rsid w:val="00EA2B4E"/>
    <w:rsid w:val="00EA71D1"/>
    <w:rsid w:val="00EB7319"/>
    <w:rsid w:val="00EC0F35"/>
    <w:rsid w:val="00EC40E8"/>
    <w:rsid w:val="00ED0537"/>
    <w:rsid w:val="00ED3660"/>
    <w:rsid w:val="00ED3D53"/>
    <w:rsid w:val="00ED54C8"/>
    <w:rsid w:val="00EE032E"/>
    <w:rsid w:val="00EE1106"/>
    <w:rsid w:val="00EE2E82"/>
    <w:rsid w:val="00EE3408"/>
    <w:rsid w:val="00EF582D"/>
    <w:rsid w:val="00F0068C"/>
    <w:rsid w:val="00F02744"/>
    <w:rsid w:val="00F030D4"/>
    <w:rsid w:val="00F03850"/>
    <w:rsid w:val="00F051A6"/>
    <w:rsid w:val="00F07C67"/>
    <w:rsid w:val="00F07E45"/>
    <w:rsid w:val="00F10E8C"/>
    <w:rsid w:val="00F12FC2"/>
    <w:rsid w:val="00F14A39"/>
    <w:rsid w:val="00F17645"/>
    <w:rsid w:val="00F25F0A"/>
    <w:rsid w:val="00F3722B"/>
    <w:rsid w:val="00F44648"/>
    <w:rsid w:val="00F47664"/>
    <w:rsid w:val="00F50F12"/>
    <w:rsid w:val="00F51958"/>
    <w:rsid w:val="00F53F1B"/>
    <w:rsid w:val="00F5547C"/>
    <w:rsid w:val="00F55812"/>
    <w:rsid w:val="00F6612D"/>
    <w:rsid w:val="00F738CF"/>
    <w:rsid w:val="00F758BF"/>
    <w:rsid w:val="00F80267"/>
    <w:rsid w:val="00F8053E"/>
    <w:rsid w:val="00F81A61"/>
    <w:rsid w:val="00F83DB8"/>
    <w:rsid w:val="00F8551F"/>
    <w:rsid w:val="00F87026"/>
    <w:rsid w:val="00F879A9"/>
    <w:rsid w:val="00F916A5"/>
    <w:rsid w:val="00F9315E"/>
    <w:rsid w:val="00FA3E49"/>
    <w:rsid w:val="00FA53A4"/>
    <w:rsid w:val="00FB1ACE"/>
    <w:rsid w:val="00FB1C08"/>
    <w:rsid w:val="00FB210A"/>
    <w:rsid w:val="00FB4FF0"/>
    <w:rsid w:val="00FB5883"/>
    <w:rsid w:val="00FB7B61"/>
    <w:rsid w:val="00FC5991"/>
    <w:rsid w:val="00FC694B"/>
    <w:rsid w:val="00FD133B"/>
    <w:rsid w:val="00FD1818"/>
    <w:rsid w:val="00FD1FF3"/>
    <w:rsid w:val="00FD44CD"/>
    <w:rsid w:val="00FD6518"/>
    <w:rsid w:val="00FE2FAC"/>
    <w:rsid w:val="00FE5B18"/>
    <w:rsid w:val="00FE78C4"/>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character" w:styleId="UnresolvedMention">
    <w:name w:val="Unresolved Mention"/>
    <w:basedOn w:val="DefaultParagraphFont"/>
    <w:uiPriority w:val="99"/>
    <w:semiHidden/>
    <w:unhideWhenUsed/>
    <w:rsid w:val="00C95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groups/energy-data-taskfo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105</Pages>
  <Words>19523</Words>
  <Characters>111283</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Melissa Kendal</cp:lastModifiedBy>
  <cp:revision>85</cp:revision>
  <cp:lastPrinted>2020-01-23T16:12:00Z</cp:lastPrinted>
  <dcterms:created xsi:type="dcterms:W3CDTF">2022-07-19T10:55:00Z</dcterms:created>
  <dcterms:modified xsi:type="dcterms:W3CDTF">2022-09-06T02:22:00Z</dcterms:modified>
</cp:coreProperties>
</file>